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C1E2" w14:textId="5A804C93" w:rsidR="00521BBA" w:rsidRDefault="00427AD9" w:rsidP="00D01E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248AC">
        <w:rPr>
          <w:b/>
          <w:bCs/>
          <w:sz w:val="28"/>
          <w:szCs w:val="28"/>
        </w:rPr>
        <w:t xml:space="preserve"> </w:t>
      </w:r>
      <w:r w:rsidR="00531091">
        <w:rPr>
          <w:b/>
          <w:bCs/>
          <w:sz w:val="28"/>
          <w:szCs w:val="28"/>
        </w:rPr>
        <w:t xml:space="preserve">  </w:t>
      </w:r>
      <w:r w:rsidR="002248AC">
        <w:rPr>
          <w:b/>
          <w:bCs/>
          <w:sz w:val="28"/>
          <w:szCs w:val="28"/>
        </w:rPr>
        <w:t xml:space="preserve"> </w:t>
      </w:r>
      <w:r w:rsidR="00484A8B" w:rsidRPr="00484A8B">
        <w:rPr>
          <w:b/>
          <w:bCs/>
          <w:sz w:val="28"/>
          <w:szCs w:val="28"/>
        </w:rPr>
        <w:t>FY 201</w:t>
      </w:r>
      <w:r w:rsidR="008E60DE">
        <w:rPr>
          <w:b/>
          <w:bCs/>
          <w:sz w:val="28"/>
          <w:szCs w:val="28"/>
        </w:rPr>
        <w:t>9</w:t>
      </w:r>
      <w:r w:rsidR="009932FA" w:rsidRPr="00484A8B">
        <w:rPr>
          <w:b/>
          <w:bCs/>
          <w:sz w:val="28"/>
          <w:szCs w:val="28"/>
        </w:rPr>
        <w:t xml:space="preserve"> Appropriations for Surface Transportation Board</w:t>
      </w:r>
    </w:p>
    <w:tbl>
      <w:tblPr>
        <w:tblW w:w="1503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1980"/>
        <w:gridCol w:w="2880"/>
        <w:gridCol w:w="1260"/>
        <w:gridCol w:w="1440"/>
        <w:gridCol w:w="1890"/>
        <w:gridCol w:w="1710"/>
        <w:gridCol w:w="630"/>
      </w:tblGrid>
      <w:tr w:rsidR="007611FB" w:rsidRPr="00545AE8" w14:paraId="1B176947" w14:textId="77777777" w:rsidTr="00B82AC1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8CC5" w14:textId="77777777" w:rsidR="00521BBA" w:rsidRPr="00545AE8" w:rsidRDefault="00521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4E5D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3B15BD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FY ’15 </w:t>
            </w:r>
          </w:p>
          <w:p w14:paraId="2DBD9FDF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Enacted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E7EE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907EF5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’16</w:t>
            </w:r>
          </w:p>
          <w:p w14:paraId="0B63739E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Enacted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3C7C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B80A7C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FY ’17 </w:t>
            </w:r>
          </w:p>
          <w:p w14:paraId="5176FBAE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Enacted</w:t>
            </w:r>
          </w:p>
          <w:p w14:paraId="5CA2363C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P.L. 115-31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933B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793D83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’1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  <w:p w14:paraId="4567A4A9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Enacted</w:t>
            </w:r>
          </w:p>
          <w:p w14:paraId="5494B87B" w14:textId="363E9A08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P.L. 115-141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DEDF84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D150D7" w14:textId="04EBC27A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‘19</w:t>
            </w:r>
          </w:p>
          <w:p w14:paraId="7DCBA3AA" w14:textId="1E319296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Authorized</w:t>
            </w:r>
          </w:p>
          <w:p w14:paraId="08529FE1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P.L. 114-110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3C99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3DACD3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President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Trump’s</w:t>
            </w:r>
          </w:p>
          <w:p w14:paraId="76D6419A" w14:textId="3E9FB2F1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’</w:t>
            </w: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 </w:t>
            </w: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Budget </w:t>
            </w:r>
          </w:p>
          <w:p w14:paraId="4D675009" w14:textId="46273D1E" w:rsidR="00521BBA" w:rsidRPr="00545AE8" w:rsidRDefault="00521BBA" w:rsidP="008E60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2/12/18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3925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7B0C0B" w14:textId="225AA26E" w:rsidR="00521BBA" w:rsidRDefault="00521BBA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U.S. House of Representatives</w:t>
            </w:r>
          </w:p>
          <w:p w14:paraId="0A160D69" w14:textId="2F4F310A" w:rsidR="007611FB" w:rsidRPr="00545AE8" w:rsidRDefault="007611FB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‘19</w:t>
            </w:r>
          </w:p>
          <w:p w14:paraId="1C89E667" w14:textId="77777777" w:rsidR="00521BBA" w:rsidRPr="00545AE8" w:rsidRDefault="00521BBA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C42F96" w14:textId="6A608E06" w:rsidR="00521BBA" w:rsidRDefault="00521BBA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971272" w14:textId="77777777" w:rsidR="00A33ECC" w:rsidRDefault="00D01EA7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521B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raft Bill &amp; Committee Report </w:t>
            </w:r>
          </w:p>
          <w:p w14:paraId="0DF192DF" w14:textId="25BD273D" w:rsidR="00521BBA" w:rsidRPr="00545AE8" w:rsidRDefault="00521BBA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Approved</w:t>
            </w:r>
          </w:p>
          <w:p w14:paraId="079C1BFA" w14:textId="70F949E3" w:rsidR="00521BBA" w:rsidRPr="00545AE8" w:rsidRDefault="00521BBA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5/23/2018</w:t>
            </w:r>
          </w:p>
          <w:p w14:paraId="1E3183F6" w14:textId="77777777" w:rsidR="00521BBA" w:rsidRDefault="00521BBA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EA0AAF" w14:textId="0FA092EF" w:rsidR="00521BBA" w:rsidRDefault="00521BBA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THUD Approved </w:t>
            </w:r>
          </w:p>
          <w:p w14:paraId="4FA88C47" w14:textId="68D4E850" w:rsidR="00521BBA" w:rsidRPr="00545AE8" w:rsidRDefault="00521BBA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1A5C2F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4F2920" w14:textId="0C1915C4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U.S. Senate</w:t>
            </w:r>
          </w:p>
          <w:p w14:paraId="3964BE78" w14:textId="3BBCB79D" w:rsidR="007611FB" w:rsidRPr="00545AE8" w:rsidRDefault="007611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‘19</w:t>
            </w:r>
          </w:p>
          <w:p w14:paraId="1DE9975B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6032A9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844480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D64CC5" w14:textId="77777777" w:rsidR="00B82AC1" w:rsidRPr="00B82AC1" w:rsidRDefault="00B82AC1">
            <w:pPr>
              <w:jc w:val="center"/>
              <w:rPr>
                <w:b/>
              </w:rPr>
            </w:pPr>
            <w:r w:rsidRPr="00B82A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S. </w:t>
            </w:r>
            <w:r w:rsidRPr="00B82AC1">
              <w:rPr>
                <w:b/>
              </w:rPr>
              <w:t>3023</w:t>
            </w:r>
          </w:p>
          <w:p w14:paraId="4B44CACD" w14:textId="0FEB314F" w:rsidR="00521BBA" w:rsidRPr="00B82AC1" w:rsidRDefault="00B82A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2AC1">
              <w:rPr>
                <w:b/>
              </w:rPr>
              <w:t xml:space="preserve"> (S.Rpt. 115-268)  </w:t>
            </w:r>
          </w:p>
          <w:p w14:paraId="2924EE52" w14:textId="7EC7C0B2" w:rsidR="00521BBA" w:rsidRDefault="00B82A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Approved</w:t>
            </w:r>
          </w:p>
          <w:p w14:paraId="5038582F" w14:textId="0BBDBFAA" w:rsidR="00B82AC1" w:rsidRDefault="00B82A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6/7/2018</w:t>
            </w:r>
          </w:p>
          <w:p w14:paraId="096E82AD" w14:textId="6F97D6E0" w:rsidR="00B82AC1" w:rsidRDefault="00B82A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1B39C6" w14:textId="551CF1F5" w:rsidR="00B82AC1" w:rsidRDefault="00B82A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THUD Approved</w:t>
            </w:r>
          </w:p>
          <w:p w14:paraId="7F341AE8" w14:textId="4696E0EF" w:rsidR="00521BBA" w:rsidRPr="00545AE8" w:rsidRDefault="00B82AC1" w:rsidP="00B82A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6/5/2018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F939B5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C691B9" w14:textId="51DCCEFC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Final</w:t>
            </w:r>
          </w:p>
          <w:p w14:paraId="1EFD884B" w14:textId="731626A5" w:rsidR="007611FB" w:rsidRDefault="007611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FY ‘19</w:t>
            </w:r>
          </w:p>
          <w:p w14:paraId="7ACEB8DB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546012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83E6A2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9C86AD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9D1655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80BFBD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E41C9D" w14:textId="77777777" w:rsidR="00521BBA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2B00BB" w14:textId="77777777" w:rsidR="00521BBA" w:rsidRDefault="00521BBA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2A3CA7FA" w14:textId="77777777" w:rsidR="00521BBA" w:rsidRDefault="00521BBA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50279F4F" w14:textId="3B5C9F38" w:rsidR="00521BBA" w:rsidRPr="00357F42" w:rsidRDefault="00521BBA" w:rsidP="00357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11FB" w:rsidRPr="00545AE8" w14:paraId="6E686F89" w14:textId="77777777" w:rsidTr="00B82AC1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7B34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Salaries </w:t>
            </w:r>
          </w:p>
          <w:p w14:paraId="1ECD6185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&amp; Expenses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7594" w14:textId="77777777" w:rsidR="00521BBA" w:rsidRPr="00545AE8" w:rsidRDefault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$31.375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B344" w14:textId="77777777" w:rsidR="00521BBA" w:rsidRPr="00545AE8" w:rsidRDefault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$32.375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21CC" w14:textId="77777777" w:rsidR="00521BBA" w:rsidRPr="00545AE8" w:rsidRDefault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$37.000</w:t>
            </w:r>
          </w:p>
          <w:p w14:paraId="6FA98B7D" w14:textId="597D2803" w:rsidR="007611FB" w:rsidRDefault="00D01EA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 which </w:t>
            </w:r>
            <w:r w:rsidR="00521BBA" w:rsidRPr="00545AE8">
              <w:rPr>
                <w:rFonts w:asciiTheme="minorHAnsi" w:hAnsiTheme="minorHAnsi" w:cstheme="minorHAnsi"/>
                <w:sz w:val="20"/>
                <w:szCs w:val="20"/>
              </w:rPr>
              <w:t>$2.046 is directed to IT upgrades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report language.</w:t>
            </w:r>
          </w:p>
          <w:p w14:paraId="677809A7" w14:textId="77777777" w:rsidR="007611FB" w:rsidRPr="007611FB" w:rsidRDefault="007611FB" w:rsidP="007611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C8E78A" w14:textId="0317432F" w:rsidR="007611FB" w:rsidRDefault="007611FB" w:rsidP="007611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90AB0" w14:textId="77777777" w:rsidR="00521BBA" w:rsidRPr="007611FB" w:rsidRDefault="00521BBA" w:rsidP="007611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CED0" w14:textId="77777777" w:rsidR="00521BBA" w:rsidRPr="00545AE8" w:rsidRDefault="00521BBA" w:rsidP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$37.100</w:t>
            </w:r>
          </w:p>
          <w:p w14:paraId="6FA3D020" w14:textId="77777777" w:rsidR="00521BBA" w:rsidRDefault="00521BBA" w:rsidP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Report language expressing concerns over STB delays in pending proceedings and encourages full complement of Board Members to be expeditiously nominated/confirmed and to provide a timely, efficient and decisive regulatory 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BEE1174" w14:textId="77777777" w:rsidR="00D01EA7" w:rsidRDefault="00D01EA7" w:rsidP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B01B9" w14:textId="5CF7378B" w:rsidR="00D01EA7" w:rsidRDefault="00D01EA7" w:rsidP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[Trump FY ’18 Budget recommended $2.401 million for continued IT upgrades.]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D0A57" w14:textId="3A385854" w:rsidR="00521BBA" w:rsidRPr="00545AE8" w:rsidRDefault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0115" w14:textId="77777777" w:rsidR="00521BBA" w:rsidRPr="00545AE8" w:rsidRDefault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$37.100</w:t>
            </w:r>
          </w:p>
          <w:p w14:paraId="0DE1968E" w14:textId="15CF042A" w:rsidR="00521BBA" w:rsidRPr="00545AE8" w:rsidRDefault="00521BBA" w:rsidP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Of which </w:t>
            </w:r>
            <w:r w:rsidRPr="008E60DE">
              <w:rPr>
                <w:bCs/>
                <w:sz w:val="20"/>
                <w:szCs w:val="20"/>
              </w:rPr>
              <w:t>$2.797 million recommended for continuing improvements to Boards</w:t>
            </w:r>
            <w:r>
              <w:rPr>
                <w:bCs/>
                <w:sz w:val="20"/>
                <w:szCs w:val="20"/>
              </w:rPr>
              <w:t>’ IT upgrades.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7FF" w14:textId="77777777" w:rsidR="00521BBA" w:rsidRDefault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$37.100</w:t>
            </w:r>
          </w:p>
          <w:p w14:paraId="5BFC5E33" w14:textId="2453637B" w:rsidR="00B82AC1" w:rsidRPr="00545AE8" w:rsidRDefault="00B82A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DF025F" w14:textId="77777777" w:rsidR="00B82AC1" w:rsidRDefault="00B82AC1" w:rsidP="00545A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$37.100</w:t>
            </w:r>
          </w:p>
          <w:p w14:paraId="087A377F" w14:textId="6DAB5EF0" w:rsidR="00521BBA" w:rsidRDefault="00B82AC1" w:rsidP="00545A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Report language expressing continued concerns over number of pending regulations that would reform existing STB procedures and need for full complement of Board Members.  </w:t>
            </w:r>
          </w:p>
          <w:p w14:paraId="49025348" w14:textId="04AD53F3" w:rsidR="00B82AC1" w:rsidRPr="00545AE8" w:rsidRDefault="00B82AC1" w:rsidP="00545A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1DA81" w14:textId="6B54EA54" w:rsidR="00521BBA" w:rsidRPr="00545AE8" w:rsidRDefault="00521BBA" w:rsidP="00357F4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FB" w:rsidRPr="00545AE8" w14:paraId="01E78611" w14:textId="77777777" w:rsidTr="00B82AC1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2481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Offsetting Collections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92B2" w14:textId="5A62A6EA" w:rsidR="00521BBA" w:rsidRPr="00545AE8" w:rsidRDefault="00521BBA" w:rsidP="00EA2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   $1.250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9EAC" w14:textId="16D40413" w:rsidR="00521BBA" w:rsidRPr="00545AE8" w:rsidRDefault="00521BBA" w:rsidP="00EA2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   $1.250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337C" w14:textId="4B487A1E" w:rsidR="00521BBA" w:rsidRPr="00545AE8" w:rsidRDefault="00521BBA" w:rsidP="00EA2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                       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$1.250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F672" w14:textId="247105D1" w:rsidR="00521BBA" w:rsidRPr="00545AE8" w:rsidRDefault="00521BBA" w:rsidP="00EA21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7611FB">
              <w:rPr>
                <w:rFonts w:asciiTheme="minorHAnsi" w:hAnsiTheme="minorHAnsi" w:cstheme="minorHAnsi"/>
                <w:sz w:val="20"/>
                <w:szCs w:val="20"/>
              </w:rPr>
              <w:t>1.250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A3908" w14:textId="210203E1" w:rsidR="00521BBA" w:rsidRPr="00545AE8" w:rsidRDefault="00521BBA" w:rsidP="00EA214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$1.250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B6EC" w14:textId="77777777" w:rsidR="00521BBA" w:rsidRPr="00545AE8" w:rsidRDefault="00521BBA" w:rsidP="003117E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$1.250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6786" w14:textId="77777777" w:rsidR="00521BBA" w:rsidRPr="00545AE8" w:rsidRDefault="00521BBA" w:rsidP="00A644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$1.250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33ADE" w14:textId="51D091B0" w:rsidR="00521BBA" w:rsidRPr="00545AE8" w:rsidRDefault="00D651CD" w:rsidP="00CA6D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$1.250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65068" w14:textId="33AE8131" w:rsidR="00521BBA" w:rsidRPr="00545AE8" w:rsidRDefault="00521BBA" w:rsidP="00357F4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1FB" w:rsidRPr="00545AE8" w14:paraId="15BB8814" w14:textId="77777777" w:rsidTr="00B82AC1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B651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4A8A" w14:textId="77777777" w:rsidR="00521BBA" w:rsidRPr="00545AE8" w:rsidRDefault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$30.125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6A4E" w14:textId="77777777" w:rsidR="00521BBA" w:rsidRPr="00545AE8" w:rsidRDefault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$31.125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9E50" w14:textId="77777777" w:rsidR="00521BBA" w:rsidRPr="00545AE8" w:rsidRDefault="00521B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                 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    $35.750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FE96" w14:textId="1382BE8D" w:rsidR="00521BBA" w:rsidRPr="00545AE8" w:rsidRDefault="007611FB" w:rsidP="007611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$35.850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ED5FA" w14:textId="2B3C316E" w:rsidR="00521BBA" w:rsidRPr="00545AE8" w:rsidRDefault="00521BBA" w:rsidP="007611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$33.750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FABF" w14:textId="77777777" w:rsidR="00521BBA" w:rsidRPr="00545AE8" w:rsidRDefault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$35.850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5608" w14:textId="77777777" w:rsidR="00521BBA" w:rsidRPr="00545AE8" w:rsidRDefault="00521BB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$35.850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6E845" w14:textId="054C2696" w:rsidR="00521BBA" w:rsidRPr="00545AE8" w:rsidRDefault="00D651CD" w:rsidP="00CA6D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sz w:val="20"/>
                <w:szCs w:val="20"/>
              </w:rPr>
              <w:t>$35.850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969C6" w14:textId="489F0533" w:rsidR="00521BBA" w:rsidRPr="00545AE8" w:rsidRDefault="00521BBA" w:rsidP="00357F4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0351D" w14:textId="7B4A37EA" w:rsidR="009932FA" w:rsidRPr="00531091" w:rsidRDefault="009932FA" w:rsidP="00AA43A4">
      <w:pPr>
        <w:rPr>
          <w:rFonts w:asciiTheme="minorHAnsi" w:hAnsiTheme="minorHAnsi" w:cstheme="minorHAnsi"/>
          <w:sz w:val="18"/>
          <w:szCs w:val="18"/>
        </w:rPr>
      </w:pPr>
      <w:r w:rsidRPr="00531091">
        <w:rPr>
          <w:rFonts w:asciiTheme="minorHAnsi" w:hAnsiTheme="minorHAnsi" w:cstheme="minorHAnsi"/>
          <w:sz w:val="18"/>
          <w:szCs w:val="18"/>
        </w:rPr>
        <w:t>Amounts in millions.</w:t>
      </w:r>
      <w:r w:rsidR="00545AE8" w:rsidRPr="0053109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AA43A4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357F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</w:t>
      </w:r>
      <w:r w:rsidR="00D01EA7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EA214D">
        <w:rPr>
          <w:rFonts w:asciiTheme="minorHAnsi" w:hAnsiTheme="minorHAnsi" w:cstheme="minorHAnsi"/>
          <w:sz w:val="18"/>
          <w:szCs w:val="18"/>
        </w:rPr>
        <w:t>Fis</w:t>
      </w:r>
      <w:r w:rsidR="000F23C8" w:rsidRPr="00531091">
        <w:rPr>
          <w:rFonts w:asciiTheme="minorHAnsi" w:hAnsiTheme="minorHAnsi" w:cstheme="minorHAnsi"/>
          <w:sz w:val="18"/>
          <w:szCs w:val="18"/>
        </w:rPr>
        <w:t>cal Year 201</w:t>
      </w:r>
      <w:r w:rsidR="008E60DE">
        <w:rPr>
          <w:rFonts w:asciiTheme="minorHAnsi" w:hAnsiTheme="minorHAnsi" w:cstheme="minorHAnsi"/>
          <w:sz w:val="18"/>
          <w:szCs w:val="18"/>
        </w:rPr>
        <w:t>9</w:t>
      </w:r>
      <w:r w:rsidR="000F23C8" w:rsidRPr="00531091">
        <w:rPr>
          <w:rFonts w:asciiTheme="minorHAnsi" w:hAnsiTheme="minorHAnsi" w:cstheme="minorHAnsi"/>
          <w:sz w:val="18"/>
          <w:szCs w:val="18"/>
        </w:rPr>
        <w:t xml:space="preserve"> beg</w:t>
      </w:r>
      <w:r w:rsidR="008E60DE">
        <w:rPr>
          <w:rFonts w:asciiTheme="minorHAnsi" w:hAnsiTheme="minorHAnsi" w:cstheme="minorHAnsi"/>
          <w:sz w:val="18"/>
          <w:szCs w:val="18"/>
        </w:rPr>
        <w:t>i</w:t>
      </w:r>
      <w:r w:rsidR="006113EF">
        <w:rPr>
          <w:rFonts w:asciiTheme="minorHAnsi" w:hAnsiTheme="minorHAnsi" w:cstheme="minorHAnsi"/>
          <w:sz w:val="18"/>
          <w:szCs w:val="18"/>
        </w:rPr>
        <w:t>n</w:t>
      </w:r>
      <w:r w:rsidR="000F23C8" w:rsidRPr="00531091">
        <w:rPr>
          <w:rFonts w:asciiTheme="minorHAnsi" w:hAnsiTheme="minorHAnsi" w:cstheme="minorHAnsi"/>
          <w:sz w:val="18"/>
          <w:szCs w:val="18"/>
        </w:rPr>
        <w:t xml:space="preserve"> October 1, 201</w:t>
      </w:r>
      <w:r w:rsidR="008E60DE">
        <w:rPr>
          <w:rFonts w:asciiTheme="minorHAnsi" w:hAnsiTheme="minorHAnsi" w:cstheme="minorHAnsi"/>
          <w:sz w:val="18"/>
          <w:szCs w:val="18"/>
        </w:rPr>
        <w:t>8</w:t>
      </w:r>
      <w:r w:rsidR="00AA43A4">
        <w:rPr>
          <w:rFonts w:asciiTheme="minorHAnsi" w:hAnsiTheme="minorHAnsi" w:cstheme="minorHAnsi"/>
          <w:sz w:val="18"/>
          <w:szCs w:val="18"/>
        </w:rPr>
        <w:t xml:space="preserve">. </w:t>
      </w:r>
      <w:r w:rsidR="00545AE8" w:rsidRPr="00531091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43E28F2C" w14:textId="77777777" w:rsidR="00531091" w:rsidRPr="00531091" w:rsidRDefault="00545AE8" w:rsidP="00545AE8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531091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268C85E2" w14:textId="77777777" w:rsidR="00B82AC1" w:rsidRDefault="003117E5" w:rsidP="008E60DE">
      <w:pPr>
        <w:pStyle w:val="NoSpacing"/>
        <w:rPr>
          <w:sz w:val="18"/>
          <w:szCs w:val="18"/>
        </w:rPr>
      </w:pPr>
      <w:r w:rsidRPr="00531091">
        <w:rPr>
          <w:rFonts w:asciiTheme="minorHAnsi" w:hAnsiTheme="minorHAnsi" w:cstheme="minorHAnsi"/>
          <w:sz w:val="18"/>
          <w:szCs w:val="18"/>
        </w:rPr>
        <w:t>FRCA supports</w:t>
      </w:r>
      <w:r w:rsidR="00427AD9" w:rsidRPr="00531091">
        <w:rPr>
          <w:rFonts w:asciiTheme="minorHAnsi" w:hAnsiTheme="minorHAnsi" w:cstheme="minorHAnsi"/>
          <w:sz w:val="18"/>
          <w:szCs w:val="18"/>
        </w:rPr>
        <w:t>,</w:t>
      </w:r>
      <w:r w:rsidRPr="00531091">
        <w:rPr>
          <w:rFonts w:asciiTheme="minorHAnsi" w:hAnsiTheme="minorHAnsi" w:cstheme="minorHAnsi"/>
          <w:sz w:val="18"/>
          <w:szCs w:val="18"/>
        </w:rPr>
        <w:t xml:space="preserve"> at a minimum, the $37</w:t>
      </w:r>
      <w:r w:rsidR="00484A8B" w:rsidRPr="00531091">
        <w:rPr>
          <w:rFonts w:asciiTheme="minorHAnsi" w:hAnsiTheme="minorHAnsi" w:cstheme="minorHAnsi"/>
          <w:sz w:val="18"/>
          <w:szCs w:val="18"/>
        </w:rPr>
        <w:t>.1</w:t>
      </w:r>
      <w:r w:rsidRPr="00531091">
        <w:rPr>
          <w:rFonts w:asciiTheme="minorHAnsi" w:hAnsiTheme="minorHAnsi" w:cstheme="minorHAnsi"/>
          <w:sz w:val="18"/>
          <w:szCs w:val="18"/>
        </w:rPr>
        <w:t xml:space="preserve"> million level</w:t>
      </w:r>
      <w:r w:rsidR="00427AD9" w:rsidRPr="00531091">
        <w:rPr>
          <w:rFonts w:asciiTheme="minorHAnsi" w:hAnsiTheme="minorHAnsi" w:cstheme="minorHAnsi"/>
          <w:sz w:val="18"/>
          <w:szCs w:val="18"/>
        </w:rPr>
        <w:t xml:space="preserve"> as proposed in the Trump FY</w:t>
      </w:r>
      <w:r w:rsidR="00545AE8" w:rsidRPr="00531091">
        <w:rPr>
          <w:rFonts w:asciiTheme="minorHAnsi" w:hAnsiTheme="minorHAnsi" w:cstheme="minorHAnsi"/>
          <w:sz w:val="18"/>
          <w:szCs w:val="18"/>
        </w:rPr>
        <w:t xml:space="preserve"> </w:t>
      </w:r>
      <w:r w:rsidR="00427AD9" w:rsidRPr="00531091">
        <w:rPr>
          <w:rFonts w:asciiTheme="minorHAnsi" w:hAnsiTheme="minorHAnsi" w:cstheme="minorHAnsi"/>
          <w:sz w:val="18"/>
          <w:szCs w:val="18"/>
        </w:rPr>
        <w:t>201</w:t>
      </w:r>
      <w:r w:rsidR="007611FB">
        <w:rPr>
          <w:rFonts w:asciiTheme="minorHAnsi" w:hAnsiTheme="minorHAnsi" w:cstheme="minorHAnsi"/>
          <w:sz w:val="18"/>
          <w:szCs w:val="18"/>
        </w:rPr>
        <w:t>9</w:t>
      </w:r>
      <w:r w:rsidR="00427AD9" w:rsidRPr="00531091">
        <w:rPr>
          <w:rFonts w:asciiTheme="minorHAnsi" w:hAnsiTheme="minorHAnsi" w:cstheme="minorHAnsi"/>
          <w:sz w:val="18"/>
          <w:szCs w:val="18"/>
        </w:rPr>
        <w:t xml:space="preserve"> Budget </w:t>
      </w:r>
      <w:r w:rsidR="007611FB">
        <w:rPr>
          <w:rFonts w:asciiTheme="minorHAnsi" w:hAnsiTheme="minorHAnsi" w:cstheme="minorHAnsi"/>
          <w:sz w:val="18"/>
          <w:szCs w:val="18"/>
        </w:rPr>
        <w:t xml:space="preserve">including the recommendation that $2.797million be spent for continuing improvements to the Board’s information systems technologies.  </w:t>
      </w:r>
      <w:r w:rsidR="007611FB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As during the FY ’18 cycle, House </w:t>
      </w:r>
      <w:r w:rsidR="00B82AC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and </w:t>
      </w:r>
      <w:r w:rsidR="007611FB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THUD staff </w:t>
      </w:r>
      <w:r w:rsidR="00545AE8" w:rsidRPr="0053109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relayed</w:t>
      </w:r>
      <w:r w:rsidR="0053109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</w:t>
      </w:r>
      <w:r w:rsidR="00545AE8" w:rsidRPr="00531091">
        <w:rPr>
          <w:sz w:val="18"/>
          <w:szCs w:val="18"/>
        </w:rPr>
        <w:t xml:space="preserve">confidence that the STB will continue </w:t>
      </w:r>
      <w:r w:rsidR="007611FB">
        <w:rPr>
          <w:sz w:val="18"/>
          <w:szCs w:val="18"/>
        </w:rPr>
        <w:t>upg</w:t>
      </w:r>
      <w:r w:rsidR="00545AE8" w:rsidRPr="00531091">
        <w:rPr>
          <w:sz w:val="18"/>
          <w:szCs w:val="18"/>
        </w:rPr>
        <w:t>rading</w:t>
      </w:r>
      <w:r w:rsidR="007611FB">
        <w:rPr>
          <w:sz w:val="18"/>
          <w:szCs w:val="18"/>
        </w:rPr>
        <w:t xml:space="preserve"> </w:t>
      </w:r>
      <w:r w:rsidR="00531091">
        <w:rPr>
          <w:sz w:val="18"/>
          <w:szCs w:val="18"/>
        </w:rPr>
        <w:t>i</w:t>
      </w:r>
      <w:r w:rsidR="00545AE8" w:rsidRPr="00531091">
        <w:rPr>
          <w:sz w:val="18"/>
          <w:szCs w:val="18"/>
        </w:rPr>
        <w:t>ts IT system and spend the monies so as presented in its budget justification submission</w:t>
      </w:r>
      <w:r w:rsidR="00D01EA7">
        <w:rPr>
          <w:sz w:val="18"/>
          <w:szCs w:val="18"/>
        </w:rPr>
        <w:t>.  N</w:t>
      </w:r>
      <w:r w:rsidR="00545AE8" w:rsidRPr="00531091">
        <w:rPr>
          <w:sz w:val="18"/>
          <w:szCs w:val="18"/>
        </w:rPr>
        <w:t xml:space="preserve">o </w:t>
      </w:r>
      <w:r w:rsidR="007611FB">
        <w:rPr>
          <w:sz w:val="18"/>
          <w:szCs w:val="18"/>
        </w:rPr>
        <w:t xml:space="preserve">accompanying </w:t>
      </w:r>
      <w:r w:rsidR="00D01EA7">
        <w:rPr>
          <w:sz w:val="18"/>
          <w:szCs w:val="18"/>
        </w:rPr>
        <w:t xml:space="preserve">IT </w:t>
      </w:r>
      <w:r w:rsidR="00545AE8" w:rsidRPr="00531091">
        <w:rPr>
          <w:sz w:val="18"/>
          <w:szCs w:val="18"/>
        </w:rPr>
        <w:t>report</w:t>
      </w:r>
      <w:r w:rsidR="00531091">
        <w:rPr>
          <w:sz w:val="18"/>
          <w:szCs w:val="18"/>
        </w:rPr>
        <w:t xml:space="preserve"> l</w:t>
      </w:r>
      <w:r w:rsidR="00545AE8" w:rsidRPr="00531091">
        <w:rPr>
          <w:sz w:val="18"/>
          <w:szCs w:val="18"/>
        </w:rPr>
        <w:t>anguage</w:t>
      </w:r>
      <w:r w:rsidR="00D01EA7">
        <w:rPr>
          <w:sz w:val="18"/>
          <w:szCs w:val="18"/>
        </w:rPr>
        <w:t xml:space="preserve"> for FY ’19 </w:t>
      </w:r>
      <w:r w:rsidR="00D01EA7" w:rsidRPr="00531091">
        <w:rPr>
          <w:sz w:val="18"/>
          <w:szCs w:val="18"/>
        </w:rPr>
        <w:t>is</w:t>
      </w:r>
      <w:r w:rsidR="00545AE8" w:rsidRPr="00531091">
        <w:rPr>
          <w:sz w:val="18"/>
          <w:szCs w:val="18"/>
        </w:rPr>
        <w:t xml:space="preserve"> needed.   </w:t>
      </w:r>
    </w:p>
    <w:p w14:paraId="27C79800" w14:textId="77777777" w:rsidR="00B82AC1" w:rsidRDefault="00B82AC1" w:rsidP="008E60DE">
      <w:pPr>
        <w:pStyle w:val="NoSpacing"/>
        <w:rPr>
          <w:sz w:val="18"/>
          <w:szCs w:val="18"/>
        </w:rPr>
      </w:pPr>
    </w:p>
    <w:p w14:paraId="1AA685AB" w14:textId="430E727C" w:rsidR="00427AD9" w:rsidRPr="00531091" w:rsidRDefault="00B82AC1" w:rsidP="007A4D0A">
      <w:pPr>
        <w:pStyle w:val="NoSpacing"/>
        <w:jc w:val="both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 xml:space="preserve">S. Rpt. 115-268 </w:t>
      </w:r>
      <w:r w:rsidR="00043675">
        <w:rPr>
          <w:sz w:val="18"/>
          <w:szCs w:val="18"/>
        </w:rPr>
        <w:t xml:space="preserve">(and final FY 2018 </w:t>
      </w:r>
      <w:r w:rsidR="007A4D0A">
        <w:rPr>
          <w:sz w:val="18"/>
          <w:szCs w:val="18"/>
        </w:rPr>
        <w:t>TUD a</w:t>
      </w:r>
      <w:r w:rsidR="00043675">
        <w:rPr>
          <w:sz w:val="18"/>
          <w:szCs w:val="18"/>
        </w:rPr>
        <w:t>ppropriations</w:t>
      </w:r>
      <w:r w:rsidR="007A4D0A">
        <w:rPr>
          <w:sz w:val="18"/>
          <w:szCs w:val="18"/>
        </w:rPr>
        <w:t xml:space="preserve"> report) </w:t>
      </w:r>
      <w:r w:rsidRPr="00B82AC1">
        <w:rPr>
          <w:sz w:val="18"/>
          <w:szCs w:val="18"/>
        </w:rPr>
        <w:t>wording mirrors the July 11</w:t>
      </w:r>
      <w:r>
        <w:rPr>
          <w:sz w:val="18"/>
          <w:szCs w:val="18"/>
        </w:rPr>
        <w:t xml:space="preserve">, 2017 </w:t>
      </w:r>
      <w:r w:rsidRPr="00B82AC1">
        <w:rPr>
          <w:sz w:val="18"/>
          <w:szCs w:val="18"/>
        </w:rPr>
        <w:t>joint FRCA-WCTL letter sent to the Senate Commerce Committee asking that it: urge the Trump Administration to: 1) nominate two qualified individuals</w:t>
      </w:r>
      <w:r w:rsidR="007A4D0A">
        <w:rPr>
          <w:sz w:val="18"/>
          <w:szCs w:val="18"/>
        </w:rPr>
        <w:t xml:space="preserve"> </w:t>
      </w:r>
      <w:r w:rsidRPr="00B82AC1">
        <w:rPr>
          <w:sz w:val="18"/>
          <w:szCs w:val="18"/>
        </w:rPr>
        <w:t>to serve as STB Members; move the confirmation process as expeditiously as possible; and, request the STB to move forward on Major Proceedings in the meantime.</w:t>
      </w:r>
      <w:bookmarkStart w:id="0" w:name="_GoBack"/>
      <w:bookmarkEnd w:id="0"/>
    </w:p>
    <w:sectPr w:rsidR="00427AD9" w:rsidRPr="00531091" w:rsidSect="00EB0AD3">
      <w:headerReference w:type="default" r:id="rId6"/>
      <w:footerReference w:type="default" r:id="rId7"/>
      <w:pgSz w:w="15840" w:h="12240" w:orient="landscape" w:code="1"/>
      <w:pgMar w:top="245" w:right="245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FCBD4" w14:textId="77777777" w:rsidR="00A01F9F" w:rsidRDefault="00A01F9F" w:rsidP="008E7C10">
      <w:r>
        <w:separator/>
      </w:r>
    </w:p>
  </w:endnote>
  <w:endnote w:type="continuationSeparator" w:id="0">
    <w:p w14:paraId="552625B5" w14:textId="77777777" w:rsidR="00A01F9F" w:rsidRDefault="00A01F9F" w:rsidP="008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E457" w14:textId="7EE2DD57" w:rsidR="009C436E" w:rsidRDefault="00D01EA7" w:rsidP="008E7C10">
    <w:pPr>
      <w:pStyle w:val="Footer"/>
      <w:jc w:val="right"/>
    </w:pPr>
    <w:r>
      <w:t xml:space="preserve">June </w:t>
    </w:r>
    <w:r w:rsidR="00EA214D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2F87" w14:textId="77777777" w:rsidR="00A01F9F" w:rsidRDefault="00A01F9F" w:rsidP="008E7C10">
      <w:r>
        <w:separator/>
      </w:r>
    </w:p>
  </w:footnote>
  <w:footnote w:type="continuationSeparator" w:id="0">
    <w:p w14:paraId="70928AFE" w14:textId="77777777" w:rsidR="00A01F9F" w:rsidRDefault="00A01F9F" w:rsidP="008E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BD9F" w14:textId="77777777" w:rsidR="00531091" w:rsidRDefault="00531091" w:rsidP="00531091">
    <w:pPr>
      <w:pStyle w:val="Header"/>
      <w:jc w:val="right"/>
    </w:pPr>
    <w:r>
      <w:rPr>
        <w:noProof/>
      </w:rPr>
      <w:drawing>
        <wp:inline distT="0" distB="0" distL="0" distR="0" wp14:anchorId="173A2012" wp14:editId="2BED1A40">
          <wp:extent cx="2237858" cy="495300"/>
          <wp:effectExtent l="0" t="0" r="0" b="0"/>
          <wp:docPr id="3" name="Picture 3" descr="cid:image004.jpg@01D0E497.8017E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0E497.8017EA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826" cy="520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FA"/>
    <w:rsid w:val="00043675"/>
    <w:rsid w:val="000726F5"/>
    <w:rsid w:val="000A7379"/>
    <w:rsid w:val="000F23C8"/>
    <w:rsid w:val="001530E1"/>
    <w:rsid w:val="001850EB"/>
    <w:rsid w:val="002248AC"/>
    <w:rsid w:val="00295A96"/>
    <w:rsid w:val="002A1E0C"/>
    <w:rsid w:val="003117E5"/>
    <w:rsid w:val="0033621F"/>
    <w:rsid w:val="00357F42"/>
    <w:rsid w:val="003B35B7"/>
    <w:rsid w:val="003D171F"/>
    <w:rsid w:val="003F4315"/>
    <w:rsid w:val="004272DD"/>
    <w:rsid w:val="00427AD9"/>
    <w:rsid w:val="00454816"/>
    <w:rsid w:val="0046149A"/>
    <w:rsid w:val="00484A8B"/>
    <w:rsid w:val="004B1EAD"/>
    <w:rsid w:val="00521BBA"/>
    <w:rsid w:val="00531091"/>
    <w:rsid w:val="00545AE8"/>
    <w:rsid w:val="00567610"/>
    <w:rsid w:val="0059410B"/>
    <w:rsid w:val="005A1E4C"/>
    <w:rsid w:val="005D5F48"/>
    <w:rsid w:val="006113EF"/>
    <w:rsid w:val="006D757A"/>
    <w:rsid w:val="007428CF"/>
    <w:rsid w:val="00743DD8"/>
    <w:rsid w:val="007611FB"/>
    <w:rsid w:val="007A4D0A"/>
    <w:rsid w:val="007E6EFE"/>
    <w:rsid w:val="00805E8F"/>
    <w:rsid w:val="00834A84"/>
    <w:rsid w:val="00836738"/>
    <w:rsid w:val="008A3008"/>
    <w:rsid w:val="008E60DE"/>
    <w:rsid w:val="008E7C10"/>
    <w:rsid w:val="00921BD8"/>
    <w:rsid w:val="009277B3"/>
    <w:rsid w:val="009905F8"/>
    <w:rsid w:val="009932FA"/>
    <w:rsid w:val="009A356C"/>
    <w:rsid w:val="009A614E"/>
    <w:rsid w:val="009B2017"/>
    <w:rsid w:val="009B42A4"/>
    <w:rsid w:val="009B679D"/>
    <w:rsid w:val="009C436E"/>
    <w:rsid w:val="009D7E44"/>
    <w:rsid w:val="00A01F9F"/>
    <w:rsid w:val="00A33ECC"/>
    <w:rsid w:val="00A56D00"/>
    <w:rsid w:val="00A64439"/>
    <w:rsid w:val="00AA43A4"/>
    <w:rsid w:val="00AC5DB5"/>
    <w:rsid w:val="00B5254E"/>
    <w:rsid w:val="00B82AC1"/>
    <w:rsid w:val="00BD4732"/>
    <w:rsid w:val="00C71887"/>
    <w:rsid w:val="00CA6DDF"/>
    <w:rsid w:val="00CF16C4"/>
    <w:rsid w:val="00D01EA7"/>
    <w:rsid w:val="00D651CD"/>
    <w:rsid w:val="00D67AAB"/>
    <w:rsid w:val="00E04F25"/>
    <w:rsid w:val="00E434D9"/>
    <w:rsid w:val="00E643FA"/>
    <w:rsid w:val="00EA214D"/>
    <w:rsid w:val="00EB0AD3"/>
    <w:rsid w:val="00F01540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160CB"/>
  <w15:chartTrackingRefBased/>
  <w15:docId w15:val="{6D74D8F8-D98A-43BD-9662-B402722F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2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2F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E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1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E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A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Warner</dc:creator>
  <cp:keywords/>
  <dc:description/>
  <cp:lastModifiedBy>Ann@annwarnerllc.com</cp:lastModifiedBy>
  <cp:revision>2</cp:revision>
  <cp:lastPrinted>2018-06-08T18:16:00Z</cp:lastPrinted>
  <dcterms:created xsi:type="dcterms:W3CDTF">2018-06-08T18:18:00Z</dcterms:created>
  <dcterms:modified xsi:type="dcterms:W3CDTF">2018-06-08T18:18:00Z</dcterms:modified>
</cp:coreProperties>
</file>