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43D6D" w14:textId="77777777" w:rsidR="007F451F" w:rsidRDefault="007F451F" w:rsidP="007F451F">
      <w:pPr>
        <w:pStyle w:val="NoSpacing"/>
        <w:jc w:val="center"/>
        <w:rPr>
          <w:rStyle w:val="s1"/>
          <w:rFonts w:ascii="Garamond" w:hAnsi="Garamond"/>
          <w:b/>
        </w:rPr>
      </w:pPr>
      <w:r>
        <w:rPr>
          <w:noProof/>
        </w:rPr>
        <w:drawing>
          <wp:inline distT="0" distB="0" distL="0" distR="0" wp14:anchorId="73B54FED" wp14:editId="0DC836DB">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5C5564A4" w14:textId="77777777" w:rsidR="007F451F" w:rsidRDefault="007F451F" w:rsidP="007F451F">
      <w:pPr>
        <w:pStyle w:val="NoSpacing"/>
        <w:jc w:val="center"/>
        <w:rPr>
          <w:rStyle w:val="s1"/>
          <w:rFonts w:ascii="Garamond" w:hAnsi="Garamond"/>
          <w:b/>
        </w:rPr>
      </w:pPr>
    </w:p>
    <w:p w14:paraId="5302C16B" w14:textId="77777777" w:rsidR="007F451F" w:rsidRDefault="007F451F" w:rsidP="007F451F">
      <w:pPr>
        <w:pStyle w:val="NoSpacing"/>
        <w:jc w:val="center"/>
        <w:rPr>
          <w:rStyle w:val="s1"/>
          <w:rFonts w:ascii="Garamond" w:hAnsi="Garamond"/>
          <w:b/>
        </w:rPr>
      </w:pPr>
    </w:p>
    <w:p w14:paraId="2BC2F78B" w14:textId="77777777" w:rsidR="005514A4" w:rsidRPr="0042381A" w:rsidRDefault="002D5409" w:rsidP="007F451F">
      <w:pPr>
        <w:pStyle w:val="NoSpacing"/>
        <w:jc w:val="center"/>
        <w:rPr>
          <w:rStyle w:val="s1"/>
          <w:rFonts w:ascii="Garamond" w:hAnsi="Garamond"/>
          <w:b/>
          <w:sz w:val="28"/>
          <w:szCs w:val="28"/>
        </w:rPr>
      </w:pPr>
      <w:r>
        <w:rPr>
          <w:rStyle w:val="s1"/>
          <w:rFonts w:ascii="Garamond" w:hAnsi="Garamond"/>
          <w:b/>
          <w:sz w:val="28"/>
          <w:szCs w:val="28"/>
        </w:rPr>
        <w:t>Commodity Exemption</w:t>
      </w:r>
    </w:p>
    <w:p w14:paraId="719F68E2" w14:textId="77777777" w:rsidR="00570C98" w:rsidRPr="003967EA" w:rsidRDefault="00570C98" w:rsidP="003967EA">
      <w:pPr>
        <w:pStyle w:val="NoSpacing"/>
        <w:rPr>
          <w:rStyle w:val="s1"/>
          <w:rFonts w:ascii="Garamond" w:hAnsi="Garamond"/>
        </w:rPr>
      </w:pPr>
    </w:p>
    <w:p w14:paraId="0B879AB2" w14:textId="77777777" w:rsidR="005514A4" w:rsidRPr="007F451F" w:rsidRDefault="00570C98" w:rsidP="003967EA">
      <w:pPr>
        <w:pStyle w:val="NoSpacing"/>
        <w:rPr>
          <w:rStyle w:val="s1"/>
          <w:rFonts w:ascii="Garamond" w:hAnsi="Garamond"/>
          <w:b/>
          <w:color w:val="0070C0"/>
        </w:rPr>
      </w:pPr>
      <w:r w:rsidRPr="007F451F">
        <w:rPr>
          <w:rStyle w:val="s1"/>
          <w:rFonts w:ascii="Garamond" w:hAnsi="Garamond"/>
          <w:b/>
          <w:color w:val="0070C0"/>
        </w:rPr>
        <w:t>FRCA Position</w:t>
      </w:r>
    </w:p>
    <w:p w14:paraId="6C46440D" w14:textId="77777777" w:rsidR="002F4815" w:rsidRPr="00585D56" w:rsidRDefault="002F4815" w:rsidP="002F4815">
      <w:pPr>
        <w:pStyle w:val="NoSpacing"/>
        <w:rPr>
          <w:rStyle w:val="s1"/>
          <w:rFonts w:ascii="Garamond" w:hAnsi="Garamond"/>
          <w:sz w:val="22"/>
          <w:szCs w:val="22"/>
        </w:rPr>
      </w:pPr>
      <w:r w:rsidRPr="00585D56">
        <w:rPr>
          <w:rStyle w:val="s1"/>
          <w:rFonts w:ascii="Garamond" w:hAnsi="Garamond"/>
          <w:sz w:val="22"/>
          <w:szCs w:val="22"/>
        </w:rPr>
        <w:t xml:space="preserve">FRCA supports efforts of the Surface Transportation Board (STB or Board), Docket No. EP 704 (Sub-No. 1), in giving meaningful consideration to reviewing, reducing, or eliminating most or all of its other existing commodity, boxcar, and Trailer on Flat Car (TOFC)/Container on Flat Car (COFC) exemptions.  </w:t>
      </w:r>
    </w:p>
    <w:p w14:paraId="5EAD9910" w14:textId="77777777" w:rsidR="002F4815" w:rsidRPr="00585D56" w:rsidRDefault="002F4815" w:rsidP="002F4815">
      <w:pPr>
        <w:pStyle w:val="NoSpacing"/>
        <w:rPr>
          <w:rStyle w:val="s1"/>
          <w:rFonts w:ascii="Garamond" w:hAnsi="Garamond"/>
          <w:sz w:val="22"/>
          <w:szCs w:val="22"/>
        </w:rPr>
      </w:pPr>
    </w:p>
    <w:p w14:paraId="44D5DBD8" w14:textId="77777777" w:rsidR="00FA1114" w:rsidRPr="00585D56" w:rsidRDefault="002F4815" w:rsidP="00FA1114">
      <w:pPr>
        <w:pStyle w:val="Default"/>
      </w:pPr>
      <w:r w:rsidRPr="00585D56">
        <w:rPr>
          <w:rStyle w:val="s1"/>
          <w:sz w:val="22"/>
          <w:szCs w:val="22"/>
        </w:rPr>
        <w:t xml:space="preserve">FRCA supports the STB’s </w:t>
      </w:r>
      <w:r w:rsidR="00FA1114" w:rsidRPr="00585D56">
        <w:rPr>
          <w:rStyle w:val="s1"/>
          <w:sz w:val="22"/>
          <w:szCs w:val="22"/>
        </w:rPr>
        <w:t>Notice of Proposed Rulemaking (</w:t>
      </w:r>
      <w:r w:rsidRPr="00585D56">
        <w:rPr>
          <w:rStyle w:val="s1"/>
          <w:sz w:val="22"/>
          <w:szCs w:val="22"/>
        </w:rPr>
        <w:t>NPRM)</w:t>
      </w:r>
      <w:r w:rsidR="00FA1114" w:rsidRPr="00585D56">
        <w:rPr>
          <w:rStyle w:val="s1"/>
          <w:sz w:val="22"/>
          <w:szCs w:val="22"/>
        </w:rPr>
        <w:t>, Docket No. EP 704 (Sub-No. 1),</w:t>
      </w:r>
    </w:p>
    <w:p w14:paraId="5B5FCFEC" w14:textId="77777777" w:rsidR="002F4815" w:rsidRPr="00FA1114" w:rsidRDefault="00FA1114" w:rsidP="00FA1114">
      <w:pPr>
        <w:pStyle w:val="NoSpacing"/>
        <w:rPr>
          <w:rFonts w:ascii="Garamond" w:hAnsi="Garamond"/>
          <w:sz w:val="22"/>
          <w:szCs w:val="22"/>
        </w:rPr>
      </w:pPr>
      <w:r w:rsidRPr="00585D56">
        <w:rPr>
          <w:rFonts w:ascii="Garamond" w:hAnsi="Garamond"/>
          <w:i/>
          <w:iCs/>
          <w:sz w:val="22"/>
          <w:szCs w:val="22"/>
        </w:rPr>
        <w:t>Review of Commodity, Boxcar, and TOFC/COFC Exemptions,</w:t>
      </w:r>
      <w:r w:rsidR="002F4815" w:rsidRPr="00585D56">
        <w:rPr>
          <w:rStyle w:val="s1"/>
          <w:rFonts w:ascii="Garamond" w:hAnsi="Garamond"/>
          <w:sz w:val="22"/>
          <w:szCs w:val="22"/>
        </w:rPr>
        <w:t xml:space="preserve"> issued </w:t>
      </w:r>
      <w:r w:rsidRPr="00585D56">
        <w:rPr>
          <w:rStyle w:val="s1"/>
          <w:rFonts w:ascii="Garamond" w:hAnsi="Garamond"/>
          <w:sz w:val="22"/>
          <w:szCs w:val="22"/>
        </w:rPr>
        <w:t>on March 23, 2016.</w:t>
      </w:r>
    </w:p>
    <w:p w14:paraId="05B88481" w14:textId="77777777" w:rsidR="002F4815" w:rsidRDefault="002F4815" w:rsidP="003967EA">
      <w:pPr>
        <w:pStyle w:val="NoSpacing"/>
        <w:rPr>
          <w:rStyle w:val="s1"/>
          <w:rFonts w:ascii="Garamond" w:hAnsi="Garamond"/>
          <w:sz w:val="22"/>
          <w:szCs w:val="22"/>
        </w:rPr>
      </w:pPr>
    </w:p>
    <w:p w14:paraId="12BFEE55" w14:textId="77777777" w:rsidR="007F451F" w:rsidRPr="0042381A" w:rsidRDefault="00D951C1" w:rsidP="003967EA">
      <w:pPr>
        <w:pStyle w:val="NoSpacing"/>
        <w:rPr>
          <w:rStyle w:val="s1"/>
          <w:rFonts w:ascii="Garamond" w:hAnsi="Garamond"/>
          <w:sz w:val="22"/>
          <w:szCs w:val="22"/>
        </w:rPr>
      </w:pPr>
      <w:r w:rsidRPr="0042381A">
        <w:rPr>
          <w:rStyle w:val="s1"/>
          <w:rFonts w:ascii="Garamond" w:hAnsi="Garamond"/>
          <w:sz w:val="22"/>
          <w:szCs w:val="22"/>
        </w:rPr>
        <w:t xml:space="preserve">FRCA believes that </w:t>
      </w:r>
      <w:r w:rsidR="00570C98" w:rsidRPr="0042381A">
        <w:rPr>
          <w:rStyle w:val="s1"/>
          <w:rFonts w:ascii="Garamond" w:hAnsi="Garamond"/>
          <w:sz w:val="22"/>
          <w:szCs w:val="22"/>
        </w:rPr>
        <w:t>exemptions</w:t>
      </w:r>
      <w:r w:rsidR="0072127A" w:rsidRPr="0042381A">
        <w:rPr>
          <w:rStyle w:val="s1"/>
          <w:rFonts w:ascii="Garamond" w:hAnsi="Garamond"/>
          <w:sz w:val="22"/>
          <w:szCs w:val="22"/>
        </w:rPr>
        <w:t xml:space="preserve"> for certain commodities</w:t>
      </w:r>
      <w:r w:rsidR="00570C98" w:rsidRPr="0042381A">
        <w:rPr>
          <w:rStyle w:val="s1"/>
          <w:rFonts w:ascii="Garamond" w:hAnsi="Garamond"/>
          <w:sz w:val="22"/>
          <w:szCs w:val="22"/>
        </w:rPr>
        <w:t xml:space="preserve"> are no longer needed and have become counterproductive especially given the market</w:t>
      </w:r>
      <w:r w:rsidR="00A01501">
        <w:rPr>
          <w:rStyle w:val="s1"/>
          <w:rFonts w:ascii="Garamond" w:hAnsi="Garamond"/>
          <w:sz w:val="22"/>
          <w:szCs w:val="22"/>
        </w:rPr>
        <w:t>, statutory, and regulatory</w:t>
      </w:r>
      <w:r w:rsidR="00570C98" w:rsidRPr="0042381A">
        <w:rPr>
          <w:rStyle w:val="s1"/>
          <w:rFonts w:ascii="Garamond" w:hAnsi="Garamond"/>
          <w:sz w:val="22"/>
          <w:szCs w:val="22"/>
        </w:rPr>
        <w:t xml:space="preserve"> changes for both railroads and shippers. </w:t>
      </w:r>
      <w:r w:rsidR="00967603" w:rsidRPr="0042381A">
        <w:rPr>
          <w:rStyle w:val="s1"/>
          <w:rFonts w:ascii="Garamond" w:hAnsi="Garamond"/>
          <w:sz w:val="22"/>
          <w:szCs w:val="22"/>
        </w:rPr>
        <w:t xml:space="preserve"> </w:t>
      </w:r>
      <w:r w:rsidR="00570C98" w:rsidRPr="0042381A">
        <w:rPr>
          <w:rStyle w:val="s1"/>
          <w:rFonts w:ascii="Garamond" w:hAnsi="Garamond"/>
          <w:sz w:val="22"/>
          <w:szCs w:val="22"/>
        </w:rPr>
        <w:t xml:space="preserve">FRCA also advocates, that all freight rail shippers regardless of commodity, should be able to seek rate and/or service relief before the </w:t>
      </w:r>
      <w:r w:rsidR="002F4815">
        <w:rPr>
          <w:rStyle w:val="s1"/>
          <w:rFonts w:ascii="Garamond" w:hAnsi="Garamond"/>
          <w:sz w:val="22"/>
          <w:szCs w:val="22"/>
        </w:rPr>
        <w:t>Board</w:t>
      </w:r>
      <w:r w:rsidR="00570C98" w:rsidRPr="0042381A">
        <w:rPr>
          <w:rStyle w:val="s1"/>
          <w:rFonts w:ascii="Garamond" w:hAnsi="Garamond"/>
          <w:sz w:val="22"/>
          <w:szCs w:val="22"/>
        </w:rPr>
        <w:t xml:space="preserve">.  </w:t>
      </w:r>
    </w:p>
    <w:p w14:paraId="6826DF76" w14:textId="77777777" w:rsidR="007F451F" w:rsidRPr="0042381A" w:rsidRDefault="007F451F" w:rsidP="003967EA">
      <w:pPr>
        <w:pStyle w:val="NoSpacing"/>
        <w:rPr>
          <w:rStyle w:val="s1"/>
          <w:rFonts w:ascii="Garamond" w:hAnsi="Garamond"/>
          <w:sz w:val="22"/>
          <w:szCs w:val="22"/>
        </w:rPr>
      </w:pPr>
    </w:p>
    <w:p w14:paraId="36578EA1" w14:textId="77777777" w:rsidR="00033BC0" w:rsidRDefault="00033BC0" w:rsidP="003967EA">
      <w:pPr>
        <w:pStyle w:val="NoSpacing"/>
        <w:rPr>
          <w:rStyle w:val="s1"/>
          <w:rFonts w:ascii="Garamond" w:hAnsi="Garamond"/>
          <w:b/>
        </w:rPr>
      </w:pPr>
    </w:p>
    <w:p w14:paraId="58078B62" w14:textId="77777777" w:rsidR="00B707BA" w:rsidRPr="0042381A" w:rsidRDefault="00D951C1" w:rsidP="003967EA">
      <w:pPr>
        <w:pStyle w:val="NoSpacing"/>
        <w:rPr>
          <w:rFonts w:ascii="Garamond" w:hAnsi="Garamond"/>
          <w:sz w:val="22"/>
          <w:szCs w:val="22"/>
        </w:rPr>
      </w:pPr>
      <w:r w:rsidRPr="007F451F">
        <w:rPr>
          <w:rStyle w:val="s1"/>
          <w:rFonts w:ascii="Garamond" w:hAnsi="Garamond"/>
          <w:b/>
        </w:rPr>
        <w:t>Issue Background</w:t>
      </w:r>
      <w:r w:rsidR="00D56661" w:rsidRPr="003967EA">
        <w:rPr>
          <w:rFonts w:ascii="Garamond" w:hAnsi="Garamond"/>
        </w:rPr>
        <w:br/>
      </w:r>
      <w:r w:rsidR="00B707BA" w:rsidRPr="0042381A">
        <w:rPr>
          <w:rStyle w:val="s1"/>
          <w:rFonts w:ascii="Garamond" w:hAnsi="Garamond"/>
          <w:sz w:val="22"/>
          <w:szCs w:val="22"/>
        </w:rPr>
        <w:t xml:space="preserve">The STB is currently reviewing allowing various commodities to seek rate and/or service relief from the STB [Docket No. EP 704 (Sub-No. 1), </w:t>
      </w:r>
      <w:r w:rsidR="00B707BA" w:rsidRPr="0042381A">
        <w:rPr>
          <w:rStyle w:val="s2"/>
          <w:rFonts w:ascii="Garamond" w:hAnsi="Garamond"/>
          <w:i/>
          <w:sz w:val="22"/>
          <w:szCs w:val="22"/>
          <w:u w:val="none"/>
        </w:rPr>
        <w:t>Review of Commodity, Boxcar, and TOFC</w:t>
      </w:r>
      <w:r w:rsidR="00B707BA" w:rsidRPr="0042381A">
        <w:rPr>
          <w:rStyle w:val="s1"/>
          <w:rFonts w:ascii="Garamond" w:hAnsi="Garamond"/>
          <w:i/>
          <w:sz w:val="22"/>
          <w:szCs w:val="22"/>
        </w:rPr>
        <w:t>/</w:t>
      </w:r>
      <w:r w:rsidR="002B13E9" w:rsidRPr="0042381A">
        <w:rPr>
          <w:rStyle w:val="s2"/>
          <w:rFonts w:ascii="Garamond" w:hAnsi="Garamond"/>
          <w:i/>
          <w:sz w:val="22"/>
          <w:szCs w:val="22"/>
          <w:u w:val="none"/>
        </w:rPr>
        <w:t>COFC Exemptions</w:t>
      </w:r>
      <w:r w:rsidR="00B707BA" w:rsidRPr="0042381A">
        <w:rPr>
          <w:rStyle w:val="s2"/>
          <w:rFonts w:ascii="Garamond" w:hAnsi="Garamond"/>
          <w:sz w:val="22"/>
          <w:szCs w:val="22"/>
          <w:u w:val="none"/>
        </w:rPr>
        <w:t>]</w:t>
      </w:r>
      <w:r w:rsidR="00B707BA" w:rsidRPr="0042381A">
        <w:rPr>
          <w:rStyle w:val="s1"/>
          <w:rFonts w:ascii="Garamond" w:hAnsi="Garamond"/>
          <w:sz w:val="22"/>
          <w:szCs w:val="22"/>
        </w:rPr>
        <w:t>. </w:t>
      </w:r>
      <w:r w:rsidR="00B707BA" w:rsidRPr="0042381A">
        <w:rPr>
          <w:rStyle w:val="apple-converted-space"/>
          <w:rFonts w:ascii="Garamond" w:hAnsi="Garamond"/>
          <w:sz w:val="22"/>
          <w:szCs w:val="22"/>
        </w:rPr>
        <w:t> </w:t>
      </w:r>
    </w:p>
    <w:p w14:paraId="347B00B9" w14:textId="77777777" w:rsidR="00B707BA" w:rsidRPr="0042381A" w:rsidRDefault="00B707BA" w:rsidP="003967EA">
      <w:pPr>
        <w:pStyle w:val="NoSpacing"/>
        <w:rPr>
          <w:rStyle w:val="s1"/>
          <w:rFonts w:ascii="Garamond" w:hAnsi="Garamond"/>
          <w:sz w:val="22"/>
          <w:szCs w:val="22"/>
        </w:rPr>
      </w:pPr>
    </w:p>
    <w:p w14:paraId="6DD7960A" w14:textId="77777777" w:rsidR="00B707BA" w:rsidRPr="0042381A" w:rsidRDefault="00B707BA" w:rsidP="003967EA">
      <w:pPr>
        <w:pStyle w:val="NoSpacing"/>
        <w:rPr>
          <w:rFonts w:ascii="Garamond" w:hAnsi="Garamond"/>
          <w:sz w:val="22"/>
          <w:szCs w:val="22"/>
        </w:rPr>
      </w:pPr>
      <w:r w:rsidRPr="0042381A">
        <w:rPr>
          <w:rStyle w:val="s1"/>
          <w:rFonts w:ascii="Garamond" w:hAnsi="Garamond"/>
          <w:sz w:val="22"/>
          <w:szCs w:val="22"/>
        </w:rPr>
        <w:t xml:space="preserve">On </w:t>
      </w:r>
      <w:r w:rsidR="002B13E9" w:rsidRPr="0042381A">
        <w:rPr>
          <w:rStyle w:val="s1"/>
          <w:rFonts w:ascii="Garamond" w:hAnsi="Garamond"/>
          <w:sz w:val="22"/>
          <w:szCs w:val="22"/>
        </w:rPr>
        <w:t>March 23</w:t>
      </w:r>
      <w:r w:rsidR="002B13E9" w:rsidRPr="0042381A">
        <w:rPr>
          <w:rStyle w:val="s3"/>
          <w:rFonts w:ascii="Garamond" w:hAnsi="Garamond"/>
          <w:sz w:val="22"/>
          <w:szCs w:val="22"/>
        </w:rPr>
        <w:t>, 2016,</w:t>
      </w:r>
      <w:r w:rsidRPr="0042381A">
        <w:rPr>
          <w:rStyle w:val="s1"/>
          <w:rFonts w:ascii="Garamond" w:hAnsi="Garamond"/>
          <w:sz w:val="22"/>
          <w:szCs w:val="22"/>
        </w:rPr>
        <w:t xml:space="preserve"> the STB issued its notice of proposed rulemaking (NPRM) to revoke the existing class exemptions under 49 C.F.R. Part 1039 for (1) crushed or broken stone or rip rap; (2) hydraulic cement; and (3) coke produced from coal, primary iron or steel products, and iron or steel scrap, wastes or tailings.  In this NPRM, the STB also sought public comment regarding the possible revocation of other commodity class exemptions.</w:t>
      </w:r>
    </w:p>
    <w:p w14:paraId="02A3FFDD" w14:textId="77777777" w:rsidR="00B707BA" w:rsidRPr="0042381A" w:rsidRDefault="00B707BA" w:rsidP="003967EA">
      <w:pPr>
        <w:pStyle w:val="NoSpacing"/>
        <w:rPr>
          <w:rStyle w:val="s1"/>
          <w:rFonts w:ascii="Garamond" w:hAnsi="Garamond"/>
          <w:sz w:val="22"/>
          <w:szCs w:val="22"/>
        </w:rPr>
      </w:pPr>
    </w:p>
    <w:p w14:paraId="689B6912"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As part of the </w:t>
      </w:r>
      <w:r w:rsidRPr="0042381A">
        <w:rPr>
          <w:rStyle w:val="s1"/>
          <w:rFonts w:ascii="Garamond" w:hAnsi="Garamond"/>
          <w:b/>
          <w:i/>
          <w:sz w:val="22"/>
          <w:szCs w:val="22"/>
        </w:rPr>
        <w:t>Railroad Revitalization and Regulatory Reform Act of 1976</w:t>
      </w:r>
      <w:r w:rsidRPr="0042381A">
        <w:rPr>
          <w:rStyle w:val="s1"/>
          <w:rFonts w:ascii="Garamond" w:hAnsi="Garamond"/>
          <w:sz w:val="22"/>
          <w:szCs w:val="22"/>
        </w:rPr>
        <w:t xml:space="preserve"> (separating passenger rail from freight rail), the U.S. Congress gave the I</w:t>
      </w:r>
      <w:r w:rsidR="007F451F" w:rsidRPr="0042381A">
        <w:rPr>
          <w:rStyle w:val="s1"/>
          <w:rFonts w:ascii="Garamond" w:hAnsi="Garamond"/>
          <w:sz w:val="22"/>
          <w:szCs w:val="22"/>
        </w:rPr>
        <w:t xml:space="preserve">nterstate </w:t>
      </w:r>
      <w:r w:rsidRPr="0042381A">
        <w:rPr>
          <w:rStyle w:val="s1"/>
          <w:rFonts w:ascii="Garamond" w:hAnsi="Garamond"/>
          <w:sz w:val="22"/>
          <w:szCs w:val="22"/>
        </w:rPr>
        <w:t>C</w:t>
      </w:r>
      <w:r w:rsidR="007F451F" w:rsidRPr="0042381A">
        <w:rPr>
          <w:rStyle w:val="s1"/>
          <w:rFonts w:ascii="Garamond" w:hAnsi="Garamond"/>
          <w:sz w:val="22"/>
          <w:szCs w:val="22"/>
        </w:rPr>
        <w:t>ommerce Commission (IC</w:t>
      </w:r>
      <w:r w:rsidRPr="0042381A">
        <w:rPr>
          <w:rStyle w:val="s1"/>
          <w:rFonts w:ascii="Garamond" w:hAnsi="Garamond"/>
          <w:sz w:val="22"/>
          <w:szCs w:val="22"/>
        </w:rPr>
        <w:t>C</w:t>
      </w:r>
      <w:r w:rsidR="007F451F" w:rsidRPr="0042381A">
        <w:rPr>
          <w:rStyle w:val="s1"/>
          <w:rFonts w:ascii="Garamond" w:hAnsi="Garamond"/>
          <w:sz w:val="22"/>
          <w:szCs w:val="22"/>
        </w:rPr>
        <w:t>)</w:t>
      </w:r>
      <w:r w:rsidRPr="0042381A">
        <w:rPr>
          <w:rStyle w:val="s1"/>
          <w:rFonts w:ascii="Garamond" w:hAnsi="Garamond"/>
          <w:sz w:val="22"/>
          <w:szCs w:val="22"/>
        </w:rPr>
        <w:t>, STB’s predecessor agency, broad authority to exempt rail carriers from regulation when such regulation was not needed to protect against abuses of market power.  Shippers of exempt commodities would not be allowed to see rate or service relief from the ICC/STB.</w:t>
      </w:r>
    </w:p>
    <w:p w14:paraId="2D1AC2B1" w14:textId="77777777" w:rsidR="00B707BA" w:rsidRPr="0042381A" w:rsidRDefault="00B707BA" w:rsidP="003967EA">
      <w:pPr>
        <w:pStyle w:val="NoSpacing"/>
        <w:rPr>
          <w:rStyle w:val="s1"/>
          <w:rFonts w:ascii="Garamond" w:hAnsi="Garamond"/>
          <w:sz w:val="22"/>
          <w:szCs w:val="22"/>
        </w:rPr>
      </w:pPr>
    </w:p>
    <w:p w14:paraId="76ABC109"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The ICC first exercised its exemption authority in 1979 by categorically exempting the transportation of certain fresh fruits and vegetables from its regulations [Rail General Exemption Authority—Fresh Fruits &amp; Vegetables, 361 I.C.C. 211 (1979)].</w:t>
      </w:r>
    </w:p>
    <w:p w14:paraId="36197413" w14:textId="77777777" w:rsidR="00B707BA" w:rsidRPr="0042381A" w:rsidRDefault="00B707BA" w:rsidP="003967EA">
      <w:pPr>
        <w:pStyle w:val="NoSpacing"/>
        <w:rPr>
          <w:rStyle w:val="s1"/>
          <w:rFonts w:ascii="Garamond" w:hAnsi="Garamond"/>
          <w:sz w:val="22"/>
          <w:szCs w:val="22"/>
        </w:rPr>
      </w:pPr>
    </w:p>
    <w:p w14:paraId="0986D5D9"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The U.S. Congress expanded the statutory exemption standard in the </w:t>
      </w:r>
      <w:r w:rsidRPr="0042381A">
        <w:rPr>
          <w:rStyle w:val="s1"/>
          <w:rFonts w:ascii="Garamond" w:hAnsi="Garamond"/>
          <w:b/>
          <w:i/>
          <w:sz w:val="22"/>
          <w:szCs w:val="22"/>
        </w:rPr>
        <w:t xml:space="preserve">Staggers </w:t>
      </w:r>
      <w:r w:rsidR="002B13E9" w:rsidRPr="0042381A">
        <w:rPr>
          <w:rStyle w:val="s1"/>
          <w:rFonts w:ascii="Garamond" w:hAnsi="Garamond"/>
          <w:b/>
          <w:i/>
          <w:sz w:val="22"/>
          <w:szCs w:val="22"/>
        </w:rPr>
        <w:t xml:space="preserve">Rail </w:t>
      </w:r>
      <w:r w:rsidRPr="0042381A">
        <w:rPr>
          <w:rStyle w:val="s1"/>
          <w:rFonts w:ascii="Garamond" w:hAnsi="Garamond"/>
          <w:b/>
          <w:i/>
          <w:sz w:val="22"/>
          <w:szCs w:val="22"/>
        </w:rPr>
        <w:t>Act</w:t>
      </w:r>
      <w:r w:rsidR="002B13E9" w:rsidRPr="0042381A">
        <w:rPr>
          <w:rStyle w:val="s1"/>
          <w:rFonts w:ascii="Garamond" w:hAnsi="Garamond"/>
          <w:b/>
          <w:i/>
          <w:sz w:val="22"/>
          <w:szCs w:val="22"/>
        </w:rPr>
        <w:t xml:space="preserve"> of 1980</w:t>
      </w:r>
      <w:r w:rsidRPr="0042381A">
        <w:rPr>
          <w:rStyle w:val="s1"/>
          <w:rFonts w:ascii="Garamond" w:hAnsi="Garamond"/>
          <w:sz w:val="22"/>
          <w:szCs w:val="22"/>
        </w:rPr>
        <w:t xml:space="preserve"> (partially de-regulating the freight railroad industry), mandating that the </w:t>
      </w:r>
      <w:r w:rsidR="002B13E9" w:rsidRPr="0042381A">
        <w:rPr>
          <w:rStyle w:val="s1"/>
          <w:rFonts w:ascii="Garamond" w:hAnsi="Garamond"/>
          <w:sz w:val="22"/>
          <w:szCs w:val="22"/>
        </w:rPr>
        <w:t>ICC/STB</w:t>
      </w:r>
      <w:r w:rsidRPr="0042381A">
        <w:rPr>
          <w:rStyle w:val="s1"/>
          <w:rFonts w:ascii="Garamond" w:hAnsi="Garamond"/>
          <w:sz w:val="22"/>
          <w:szCs w:val="22"/>
        </w:rPr>
        <w:t xml:space="preserve"> shall exempt a person, class of persons, or a transaction or service when it finds that the application of this statutory requirement is not necessary to protect shippers from the abuse of market power.</w:t>
      </w:r>
    </w:p>
    <w:p w14:paraId="14C68A40" w14:textId="77777777" w:rsidR="00B707BA" w:rsidRPr="0042381A" w:rsidRDefault="00B707BA" w:rsidP="003967EA">
      <w:pPr>
        <w:pStyle w:val="NoSpacing"/>
        <w:rPr>
          <w:rStyle w:val="s1"/>
          <w:rFonts w:ascii="Garamond" w:hAnsi="Garamond"/>
          <w:sz w:val="22"/>
          <w:szCs w:val="22"/>
        </w:rPr>
      </w:pPr>
    </w:p>
    <w:p w14:paraId="1FB2775E"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The </w:t>
      </w:r>
      <w:r w:rsidRPr="0042381A">
        <w:rPr>
          <w:rStyle w:val="s1"/>
          <w:rFonts w:ascii="Garamond" w:hAnsi="Garamond"/>
          <w:b/>
          <w:i/>
          <w:sz w:val="22"/>
          <w:szCs w:val="22"/>
        </w:rPr>
        <w:t xml:space="preserve">Staggers Act </w:t>
      </w:r>
      <w:r w:rsidRPr="0042381A">
        <w:rPr>
          <w:rStyle w:val="s1"/>
          <w:rFonts w:ascii="Garamond" w:hAnsi="Garamond"/>
          <w:sz w:val="22"/>
          <w:szCs w:val="22"/>
        </w:rPr>
        <w:t xml:space="preserve">also gave the ICC authority to revoke an exemption (partially or completely) if the agency later determines that the exemption is not needed.  In other words, the </w:t>
      </w:r>
      <w:r w:rsidRPr="0042381A">
        <w:rPr>
          <w:rStyle w:val="s1"/>
          <w:rFonts w:ascii="Garamond" w:hAnsi="Garamond"/>
          <w:i/>
          <w:sz w:val="22"/>
          <w:szCs w:val="22"/>
        </w:rPr>
        <w:t>Staggers Act</w:t>
      </w:r>
      <w:r w:rsidRPr="0042381A">
        <w:rPr>
          <w:rStyle w:val="s1"/>
          <w:rFonts w:ascii="Garamond" w:hAnsi="Garamond"/>
          <w:sz w:val="22"/>
          <w:szCs w:val="22"/>
        </w:rPr>
        <w:t xml:space="preserve"> </w:t>
      </w:r>
      <w:r w:rsidRPr="0042381A">
        <w:rPr>
          <w:rStyle w:val="s2"/>
          <w:rFonts w:ascii="Garamond" w:hAnsi="Garamond"/>
          <w:sz w:val="22"/>
          <w:szCs w:val="22"/>
          <w:u w:val="none"/>
        </w:rPr>
        <w:t>anticipated</w:t>
      </w:r>
      <w:r w:rsidRPr="0042381A">
        <w:rPr>
          <w:rStyle w:val="s1"/>
          <w:rFonts w:ascii="Garamond" w:hAnsi="Garamond"/>
          <w:sz w:val="22"/>
          <w:szCs w:val="22"/>
        </w:rPr>
        <w:t xml:space="preserve"> that market conditions could change over time, resulting in commodities being adversely affected by railroad market </w:t>
      </w:r>
      <w:r w:rsidRPr="0042381A">
        <w:rPr>
          <w:rStyle w:val="s1"/>
          <w:rFonts w:ascii="Garamond" w:hAnsi="Garamond"/>
          <w:sz w:val="22"/>
          <w:szCs w:val="22"/>
        </w:rPr>
        <w:lastRenderedPageBreak/>
        <w:t xml:space="preserve">dominance.  Therefore, according to </w:t>
      </w:r>
      <w:r w:rsidRPr="0042381A">
        <w:rPr>
          <w:rStyle w:val="s1"/>
          <w:rFonts w:ascii="Garamond" w:hAnsi="Garamond"/>
          <w:b/>
          <w:i/>
          <w:sz w:val="22"/>
          <w:szCs w:val="22"/>
        </w:rPr>
        <w:t>Staggers</w:t>
      </w:r>
      <w:r w:rsidRPr="0042381A">
        <w:rPr>
          <w:rStyle w:val="s1"/>
          <w:rFonts w:ascii="Garamond" w:hAnsi="Garamond"/>
          <w:sz w:val="22"/>
          <w:szCs w:val="22"/>
        </w:rPr>
        <w:t>, the shippers of those commodities should be allowed to seek rate and or service relief from the ICC</w:t>
      </w:r>
      <w:r w:rsidR="007F451F" w:rsidRPr="0042381A">
        <w:rPr>
          <w:rStyle w:val="s1"/>
          <w:rFonts w:ascii="Garamond" w:hAnsi="Garamond"/>
          <w:sz w:val="22"/>
          <w:szCs w:val="22"/>
        </w:rPr>
        <w:t>/</w:t>
      </w:r>
      <w:r w:rsidRPr="0042381A">
        <w:rPr>
          <w:rStyle w:val="s1"/>
          <w:rFonts w:ascii="Garamond" w:hAnsi="Garamond"/>
          <w:sz w:val="22"/>
          <w:szCs w:val="22"/>
        </w:rPr>
        <w:t>STB.</w:t>
      </w:r>
    </w:p>
    <w:p w14:paraId="1C9A1AE1" w14:textId="77777777" w:rsidR="00B707BA" w:rsidRPr="0042381A" w:rsidRDefault="00B707BA" w:rsidP="003967EA">
      <w:pPr>
        <w:pStyle w:val="NoSpacing"/>
        <w:rPr>
          <w:rStyle w:val="s1"/>
          <w:rFonts w:ascii="Garamond" w:hAnsi="Garamond"/>
          <w:sz w:val="22"/>
          <w:szCs w:val="22"/>
        </w:rPr>
      </w:pPr>
    </w:p>
    <w:p w14:paraId="5F05F963"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The ICC’s exemption decisions </w:t>
      </w:r>
      <w:r w:rsidR="00A01501">
        <w:rPr>
          <w:rStyle w:val="s1"/>
          <w:rFonts w:ascii="Garamond" w:hAnsi="Garamond"/>
          <w:sz w:val="22"/>
          <w:szCs w:val="22"/>
        </w:rPr>
        <w:t>facilitated</w:t>
      </w:r>
      <w:r w:rsidR="009B6704">
        <w:rPr>
          <w:rStyle w:val="s1"/>
          <w:rFonts w:ascii="Garamond" w:hAnsi="Garamond"/>
          <w:sz w:val="22"/>
          <w:szCs w:val="22"/>
        </w:rPr>
        <w:t xml:space="preserve"> </w:t>
      </w:r>
      <w:r w:rsidRPr="0042381A">
        <w:rPr>
          <w:rStyle w:val="s1"/>
          <w:rFonts w:ascii="Garamond" w:hAnsi="Garamond"/>
          <w:sz w:val="22"/>
          <w:szCs w:val="22"/>
        </w:rPr>
        <w:t>the U.S. rail system’s transition from a heavily regulated, financially weak component of the economy into a mature, healthy industry that operates with limited economic oversight.  However, more than 35 years have passed since many of the commodity exemptions were adopted, and there have been many changes in the financial health of railroads and exempt commodity shippers</w:t>
      </w:r>
      <w:r w:rsidR="00A01501">
        <w:rPr>
          <w:rStyle w:val="s1"/>
          <w:rFonts w:ascii="Garamond" w:hAnsi="Garamond"/>
          <w:sz w:val="22"/>
          <w:szCs w:val="22"/>
        </w:rPr>
        <w:t xml:space="preserve"> as well as the statutory and regulatory scheme, particularly the fact that tariffs and most contracts are no longer filed with the agency</w:t>
      </w:r>
      <w:r w:rsidRPr="0042381A">
        <w:rPr>
          <w:rStyle w:val="s1"/>
          <w:rFonts w:ascii="Garamond" w:hAnsi="Garamond"/>
          <w:sz w:val="22"/>
          <w:szCs w:val="22"/>
        </w:rPr>
        <w:t>.</w:t>
      </w:r>
    </w:p>
    <w:p w14:paraId="033D2808" w14:textId="77777777" w:rsidR="00B707BA" w:rsidRPr="0042381A" w:rsidRDefault="00B707BA" w:rsidP="003967EA">
      <w:pPr>
        <w:pStyle w:val="NoSpacing"/>
        <w:rPr>
          <w:rStyle w:val="s1"/>
          <w:rFonts w:ascii="Garamond" w:hAnsi="Garamond"/>
          <w:sz w:val="22"/>
          <w:szCs w:val="22"/>
        </w:rPr>
      </w:pPr>
    </w:p>
    <w:p w14:paraId="5C355EF2"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The STB began reviewing this set of exemptions, Docket No. EP 704 (Sub-No. 1), in 2010.  The Board then held a public hearing in 2011 on this issue after receiving informal inquiries questioning the relevance or necessity of some of the existing commodity exemptions.  In addition to the 21 individuals who testified, the STB received numerous written comments from parties representing a diverse group of stakeholders including railroads, shippers, and the U.S. Department of Transportation.  The STB encouraged all hearing participants to address the: effectiveness of the exemptions in the marketplace; whether the rationale behind any of these exemptions should be revisited; and, whether the exemptions should be subject to periodic review. </w:t>
      </w:r>
      <w:r w:rsidR="00967603" w:rsidRPr="0042381A">
        <w:rPr>
          <w:rStyle w:val="s1"/>
          <w:rFonts w:ascii="Garamond" w:hAnsi="Garamond"/>
          <w:sz w:val="22"/>
          <w:szCs w:val="22"/>
        </w:rPr>
        <w:t xml:space="preserve"> </w:t>
      </w:r>
      <w:r w:rsidRPr="0042381A">
        <w:rPr>
          <w:rStyle w:val="s1"/>
          <w:rFonts w:ascii="Garamond" w:hAnsi="Garamond"/>
          <w:sz w:val="22"/>
          <w:szCs w:val="22"/>
        </w:rPr>
        <w:t>The STB considered these comments when developing this NPRM.</w:t>
      </w:r>
    </w:p>
    <w:p w14:paraId="068851EC" w14:textId="77777777" w:rsidR="00B707BA" w:rsidRPr="0042381A" w:rsidRDefault="00B707BA" w:rsidP="003967EA">
      <w:pPr>
        <w:pStyle w:val="NoSpacing"/>
        <w:rPr>
          <w:rStyle w:val="s1"/>
          <w:rFonts w:ascii="Garamond" w:hAnsi="Garamond"/>
          <w:sz w:val="22"/>
          <w:szCs w:val="22"/>
        </w:rPr>
      </w:pPr>
    </w:p>
    <w:p w14:paraId="36BB7359" w14:textId="77777777" w:rsidR="00D56661" w:rsidRPr="0042381A" w:rsidRDefault="00D56661" w:rsidP="003967EA">
      <w:pPr>
        <w:pStyle w:val="NoSpacing"/>
        <w:rPr>
          <w:rFonts w:ascii="Garamond" w:hAnsi="Garamond"/>
          <w:sz w:val="22"/>
          <w:szCs w:val="22"/>
        </w:rPr>
      </w:pPr>
      <w:r w:rsidRPr="0042381A">
        <w:rPr>
          <w:rStyle w:val="s1"/>
          <w:rFonts w:ascii="Garamond" w:hAnsi="Garamond"/>
          <w:sz w:val="22"/>
          <w:szCs w:val="22"/>
        </w:rPr>
        <w:t xml:space="preserve">The STB has the statutory authority – again dating back to the </w:t>
      </w:r>
      <w:r w:rsidRPr="0042381A">
        <w:rPr>
          <w:rStyle w:val="s1"/>
          <w:rFonts w:ascii="Garamond" w:hAnsi="Garamond"/>
          <w:b/>
          <w:i/>
          <w:sz w:val="22"/>
          <w:szCs w:val="22"/>
        </w:rPr>
        <w:t>Staggers Act</w:t>
      </w:r>
      <w:r w:rsidR="007F451F" w:rsidRPr="0042381A">
        <w:rPr>
          <w:rStyle w:val="s1"/>
          <w:rFonts w:ascii="Garamond" w:hAnsi="Garamond"/>
          <w:b/>
          <w:i/>
          <w:sz w:val="22"/>
          <w:szCs w:val="22"/>
        </w:rPr>
        <w:t xml:space="preserve"> of 1980</w:t>
      </w:r>
      <w:r w:rsidRPr="0042381A">
        <w:rPr>
          <w:rStyle w:val="s1"/>
          <w:rFonts w:ascii="Garamond" w:hAnsi="Garamond"/>
          <w:sz w:val="22"/>
          <w:szCs w:val="22"/>
        </w:rPr>
        <w:t xml:space="preserve"> – to modify its rules.  No additional congressional action is necessary.  As such, the recently enacted </w:t>
      </w:r>
      <w:r w:rsidRPr="0042381A">
        <w:rPr>
          <w:rStyle w:val="s1"/>
          <w:rFonts w:ascii="Garamond" w:hAnsi="Garamond"/>
          <w:b/>
          <w:i/>
          <w:sz w:val="22"/>
          <w:szCs w:val="22"/>
        </w:rPr>
        <w:t>STB Reauthorization Act of 2015</w:t>
      </w:r>
      <w:r w:rsidRPr="0042381A">
        <w:rPr>
          <w:rStyle w:val="s1"/>
          <w:rFonts w:ascii="Garamond" w:hAnsi="Garamond"/>
          <w:sz w:val="22"/>
          <w:szCs w:val="22"/>
        </w:rPr>
        <w:t>, P.L. 114-110, is silent on this commodity exemption issue.</w:t>
      </w:r>
    </w:p>
    <w:p w14:paraId="5044E20A" w14:textId="77777777" w:rsidR="00D56661" w:rsidRDefault="00D56661" w:rsidP="003967EA">
      <w:pPr>
        <w:pStyle w:val="NoSpacing"/>
        <w:rPr>
          <w:rFonts w:ascii="Garamond" w:hAnsi="Garamond"/>
        </w:rPr>
      </w:pPr>
    </w:p>
    <w:p w14:paraId="7DA0891F" w14:textId="77777777" w:rsidR="00033BC0" w:rsidRPr="003967EA" w:rsidRDefault="00033BC0" w:rsidP="003967EA">
      <w:pPr>
        <w:pStyle w:val="NoSpacing"/>
        <w:rPr>
          <w:rFonts w:ascii="Garamond" w:hAnsi="Garamond"/>
        </w:rPr>
      </w:pPr>
    </w:p>
    <w:p w14:paraId="12B97542" w14:textId="77777777" w:rsidR="00A53052" w:rsidRDefault="007F451F" w:rsidP="003967EA">
      <w:pPr>
        <w:pStyle w:val="NoSpacing"/>
        <w:rPr>
          <w:rFonts w:ascii="Garamond" w:hAnsi="Garamond"/>
          <w:b/>
        </w:rPr>
      </w:pPr>
      <w:r w:rsidRPr="00967603">
        <w:rPr>
          <w:rFonts w:ascii="Garamond" w:hAnsi="Garamond"/>
          <w:b/>
        </w:rPr>
        <w:t>Status</w:t>
      </w:r>
    </w:p>
    <w:p w14:paraId="6FD4165A" w14:textId="77777777" w:rsidR="0042381A" w:rsidRDefault="00FA1114" w:rsidP="003967EA">
      <w:pPr>
        <w:pStyle w:val="NoSpacing"/>
        <w:rPr>
          <w:rFonts w:ascii="Garamond" w:hAnsi="Garamond"/>
          <w:sz w:val="22"/>
          <w:szCs w:val="22"/>
        </w:rPr>
      </w:pPr>
      <w:r>
        <w:rPr>
          <w:rFonts w:ascii="Garamond" w:hAnsi="Garamond"/>
          <w:sz w:val="22"/>
          <w:szCs w:val="22"/>
        </w:rPr>
        <w:t xml:space="preserve">On July 25, 2016, </w:t>
      </w:r>
      <w:r w:rsidR="00B47EE9" w:rsidRPr="0042381A">
        <w:rPr>
          <w:rFonts w:ascii="Garamond" w:hAnsi="Garamond"/>
          <w:sz w:val="22"/>
          <w:szCs w:val="22"/>
        </w:rPr>
        <w:t xml:space="preserve">FRCA submitted comments </w:t>
      </w:r>
      <w:r>
        <w:rPr>
          <w:rFonts w:ascii="Garamond" w:hAnsi="Garamond"/>
          <w:sz w:val="22"/>
          <w:szCs w:val="22"/>
        </w:rPr>
        <w:t xml:space="preserve">supporting the NPRM, </w:t>
      </w:r>
      <w:r w:rsidR="002F4815">
        <w:rPr>
          <w:rFonts w:ascii="Garamond" w:hAnsi="Garamond"/>
          <w:sz w:val="22"/>
          <w:szCs w:val="22"/>
        </w:rPr>
        <w:t>Docket No 704 (Sub-No. 1</w:t>
      </w:r>
      <w:r w:rsidRPr="00585D56">
        <w:rPr>
          <w:rFonts w:ascii="Garamond" w:hAnsi="Garamond"/>
          <w:sz w:val="22"/>
          <w:szCs w:val="22"/>
        </w:rPr>
        <w:t>),</w:t>
      </w:r>
      <w:r w:rsidRPr="00585D56">
        <w:rPr>
          <w:rFonts w:ascii="Garamond" w:hAnsi="Garamond"/>
          <w:i/>
          <w:iCs/>
          <w:sz w:val="22"/>
          <w:szCs w:val="22"/>
        </w:rPr>
        <w:t xml:space="preserve"> Review of Commodity, Boxcar, and TOFC/COFC Exemptions</w:t>
      </w:r>
      <w:r w:rsidR="00B47EE9" w:rsidRPr="00585D56">
        <w:rPr>
          <w:rFonts w:ascii="Garamond" w:hAnsi="Garamond"/>
          <w:sz w:val="22"/>
          <w:szCs w:val="22"/>
        </w:rPr>
        <w:t>.</w:t>
      </w:r>
      <w:r w:rsidR="00585D56">
        <w:rPr>
          <w:rFonts w:ascii="Garamond" w:hAnsi="Garamond"/>
          <w:sz w:val="22"/>
          <w:szCs w:val="22"/>
        </w:rPr>
        <w:t xml:space="preserve"> </w:t>
      </w:r>
      <w:r w:rsidR="00B47EE9" w:rsidRPr="0042381A">
        <w:rPr>
          <w:rFonts w:ascii="Garamond" w:hAnsi="Garamond"/>
          <w:sz w:val="22"/>
          <w:szCs w:val="22"/>
        </w:rPr>
        <w:t>Reply comments were due</w:t>
      </w:r>
      <w:r w:rsidR="00535F6D" w:rsidRPr="0042381A">
        <w:rPr>
          <w:rFonts w:ascii="Garamond" w:hAnsi="Garamond"/>
          <w:sz w:val="22"/>
          <w:szCs w:val="22"/>
        </w:rPr>
        <w:t xml:space="preserve"> June 27, 2016.  </w:t>
      </w:r>
    </w:p>
    <w:p w14:paraId="366A6F6F" w14:textId="77777777" w:rsidR="0042381A" w:rsidRDefault="0042381A" w:rsidP="003967EA">
      <w:pPr>
        <w:pStyle w:val="NoSpacing"/>
        <w:rPr>
          <w:rFonts w:ascii="Garamond" w:hAnsi="Garamond"/>
          <w:sz w:val="22"/>
          <w:szCs w:val="22"/>
        </w:rPr>
      </w:pPr>
    </w:p>
    <w:p w14:paraId="2C41CF2A" w14:textId="77777777" w:rsidR="00B47EE9" w:rsidRPr="0042381A" w:rsidRDefault="0042381A" w:rsidP="003967EA">
      <w:pPr>
        <w:pStyle w:val="NoSpacing"/>
        <w:rPr>
          <w:rFonts w:ascii="Garamond" w:hAnsi="Garamond"/>
          <w:sz w:val="22"/>
          <w:szCs w:val="22"/>
        </w:rPr>
      </w:pPr>
      <w:r>
        <w:rPr>
          <w:rFonts w:ascii="Garamond" w:hAnsi="Garamond"/>
          <w:sz w:val="22"/>
          <w:szCs w:val="22"/>
        </w:rPr>
        <w:t>At the current time, it is remains uncertain when further STB action will occur.</w:t>
      </w:r>
      <w:bookmarkStart w:id="0" w:name="_GoBack"/>
      <w:bookmarkEnd w:id="0"/>
    </w:p>
    <w:sectPr w:rsidR="00B47EE9" w:rsidRPr="0042381A" w:rsidSect="00B808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48ED" w14:textId="77777777" w:rsidR="005E79BC" w:rsidRDefault="005E79BC" w:rsidP="003967EA">
      <w:r>
        <w:separator/>
      </w:r>
    </w:p>
  </w:endnote>
  <w:endnote w:type="continuationSeparator" w:id="0">
    <w:p w14:paraId="2C8D0A49" w14:textId="77777777" w:rsidR="005E79BC" w:rsidRDefault="005E79BC" w:rsidP="0039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43999"/>
      <w:docPartObj>
        <w:docPartGallery w:val="Page Numbers (Bottom of Page)"/>
        <w:docPartUnique/>
      </w:docPartObj>
    </w:sdtPr>
    <w:sdtEndPr>
      <w:rPr>
        <w:rFonts w:ascii="Arial" w:hAnsi="Arial" w:cs="Arial"/>
        <w:noProof/>
        <w:sz w:val="20"/>
        <w:szCs w:val="20"/>
      </w:rPr>
    </w:sdtEndPr>
    <w:sdtContent>
      <w:p w14:paraId="6BC9DA0B" w14:textId="77777777" w:rsidR="00455711" w:rsidRPr="00455711" w:rsidRDefault="00455711">
        <w:pPr>
          <w:pStyle w:val="Footer"/>
          <w:rPr>
            <w:rFonts w:ascii="Arial" w:hAnsi="Arial" w:cs="Arial"/>
            <w:sz w:val="20"/>
            <w:szCs w:val="20"/>
          </w:rPr>
        </w:pPr>
        <w:r w:rsidRPr="00455711">
          <w:rPr>
            <w:rFonts w:ascii="Arial" w:hAnsi="Arial" w:cs="Arial"/>
            <w:sz w:val="20"/>
            <w:szCs w:val="20"/>
          </w:rPr>
          <w:fldChar w:fldCharType="begin"/>
        </w:r>
        <w:r w:rsidRPr="00455711">
          <w:rPr>
            <w:rFonts w:ascii="Arial" w:hAnsi="Arial" w:cs="Arial"/>
            <w:sz w:val="20"/>
            <w:szCs w:val="20"/>
          </w:rPr>
          <w:instrText xml:space="preserve"> PAGE   \* MERGEFORMAT </w:instrText>
        </w:r>
        <w:r w:rsidRPr="00455711">
          <w:rPr>
            <w:rFonts w:ascii="Arial" w:hAnsi="Arial" w:cs="Arial"/>
            <w:sz w:val="20"/>
            <w:szCs w:val="20"/>
          </w:rPr>
          <w:fldChar w:fldCharType="separate"/>
        </w:r>
        <w:r w:rsidRPr="00455711">
          <w:rPr>
            <w:rFonts w:ascii="Arial" w:hAnsi="Arial" w:cs="Arial"/>
            <w:noProof/>
            <w:sz w:val="20"/>
            <w:szCs w:val="20"/>
          </w:rPr>
          <w:t>2</w:t>
        </w:r>
        <w:r w:rsidRPr="00455711">
          <w:rPr>
            <w:rFonts w:ascii="Arial" w:hAnsi="Arial" w:cs="Arial"/>
            <w:noProof/>
            <w:sz w:val="20"/>
            <w:szCs w:val="20"/>
          </w:rPr>
          <w:fldChar w:fldCharType="end"/>
        </w:r>
        <w:r>
          <w:rPr>
            <w:rFonts w:ascii="Arial" w:hAnsi="Arial" w:cs="Arial"/>
            <w:noProof/>
            <w:sz w:val="20"/>
            <w:szCs w:val="20"/>
          </w:rPr>
          <w:t xml:space="preserve">                                                                                                                                                     June 2018</w:t>
        </w:r>
      </w:p>
    </w:sdtContent>
  </w:sdt>
  <w:p w14:paraId="39BED0C8" w14:textId="77777777" w:rsidR="003967EA" w:rsidRDefault="003967EA" w:rsidP="003967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13A3" w14:textId="77777777" w:rsidR="005E79BC" w:rsidRDefault="005E79BC" w:rsidP="003967EA">
      <w:r>
        <w:separator/>
      </w:r>
    </w:p>
  </w:footnote>
  <w:footnote w:type="continuationSeparator" w:id="0">
    <w:p w14:paraId="60F65713" w14:textId="77777777" w:rsidR="005E79BC" w:rsidRDefault="005E79BC" w:rsidP="00396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61"/>
    <w:rsid w:val="000300E6"/>
    <w:rsid w:val="00033BC0"/>
    <w:rsid w:val="00066528"/>
    <w:rsid w:val="000952FB"/>
    <w:rsid w:val="0013462F"/>
    <w:rsid w:val="002648D7"/>
    <w:rsid w:val="002938F6"/>
    <w:rsid w:val="002B13E9"/>
    <w:rsid w:val="002C4D34"/>
    <w:rsid w:val="002C6C4D"/>
    <w:rsid w:val="002D5409"/>
    <w:rsid w:val="002F4815"/>
    <w:rsid w:val="003967EA"/>
    <w:rsid w:val="003D7BE9"/>
    <w:rsid w:val="0040645A"/>
    <w:rsid w:val="0042381A"/>
    <w:rsid w:val="00455711"/>
    <w:rsid w:val="0049086A"/>
    <w:rsid w:val="004C0F4E"/>
    <w:rsid w:val="00535F6D"/>
    <w:rsid w:val="005514A4"/>
    <w:rsid w:val="00570C98"/>
    <w:rsid w:val="00585D56"/>
    <w:rsid w:val="005B0590"/>
    <w:rsid w:val="005E79BC"/>
    <w:rsid w:val="005F2BE5"/>
    <w:rsid w:val="006466DC"/>
    <w:rsid w:val="0072127A"/>
    <w:rsid w:val="00777308"/>
    <w:rsid w:val="007E464A"/>
    <w:rsid w:val="007F451F"/>
    <w:rsid w:val="008060DF"/>
    <w:rsid w:val="00851FC5"/>
    <w:rsid w:val="00885A55"/>
    <w:rsid w:val="008F4B73"/>
    <w:rsid w:val="009001C0"/>
    <w:rsid w:val="00917F9D"/>
    <w:rsid w:val="009619E5"/>
    <w:rsid w:val="00967603"/>
    <w:rsid w:val="009B614F"/>
    <w:rsid w:val="009B6704"/>
    <w:rsid w:val="009E5FE9"/>
    <w:rsid w:val="00A01501"/>
    <w:rsid w:val="00A55657"/>
    <w:rsid w:val="00A576B3"/>
    <w:rsid w:val="00B47EE9"/>
    <w:rsid w:val="00B707BA"/>
    <w:rsid w:val="00B754F3"/>
    <w:rsid w:val="00B80885"/>
    <w:rsid w:val="00B810A0"/>
    <w:rsid w:val="00BC072D"/>
    <w:rsid w:val="00C46AA5"/>
    <w:rsid w:val="00C665DB"/>
    <w:rsid w:val="00D56661"/>
    <w:rsid w:val="00D56B8A"/>
    <w:rsid w:val="00D951C1"/>
    <w:rsid w:val="00DA6EEC"/>
    <w:rsid w:val="00DB744C"/>
    <w:rsid w:val="00DC1D06"/>
    <w:rsid w:val="00DE256A"/>
    <w:rsid w:val="00E5241D"/>
    <w:rsid w:val="00E73E41"/>
    <w:rsid w:val="00EC08D3"/>
    <w:rsid w:val="00F8683B"/>
    <w:rsid w:val="00FA1114"/>
    <w:rsid w:val="00FC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C0BCD"/>
  <w14:defaultImageDpi w14:val="300"/>
  <w15:docId w15:val="{0557EA33-D2BE-4E6F-9735-D49F6C30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6661"/>
    <w:rPr>
      <w:rFonts w:ascii="Helvetica" w:hAnsi="Helvetica" w:cs="Times New Roman"/>
      <w:color w:val="15489D"/>
      <w:sz w:val="32"/>
      <w:szCs w:val="32"/>
    </w:rPr>
  </w:style>
  <w:style w:type="paragraph" w:customStyle="1" w:styleId="p2">
    <w:name w:val="p2"/>
    <w:basedOn w:val="Normal"/>
    <w:rsid w:val="00D56661"/>
    <w:rPr>
      <w:rFonts w:ascii="Helvetica" w:hAnsi="Helvetica" w:cs="Times New Roman"/>
      <w:color w:val="484C53"/>
      <w:sz w:val="21"/>
      <w:szCs w:val="21"/>
    </w:rPr>
  </w:style>
  <w:style w:type="character" w:customStyle="1" w:styleId="s2">
    <w:name w:val="s2"/>
    <w:basedOn w:val="DefaultParagraphFont"/>
    <w:rsid w:val="00D56661"/>
    <w:rPr>
      <w:u w:val="single"/>
    </w:rPr>
  </w:style>
  <w:style w:type="character" w:customStyle="1" w:styleId="s3">
    <w:name w:val="s3"/>
    <w:basedOn w:val="DefaultParagraphFont"/>
    <w:rsid w:val="00D56661"/>
    <w:rPr>
      <w:rFonts w:ascii="Helvetica" w:hAnsi="Helvetica" w:hint="default"/>
      <w:sz w:val="16"/>
      <w:szCs w:val="16"/>
    </w:rPr>
  </w:style>
  <w:style w:type="character" w:customStyle="1" w:styleId="s1">
    <w:name w:val="s1"/>
    <w:basedOn w:val="DefaultParagraphFont"/>
    <w:rsid w:val="00D56661"/>
  </w:style>
  <w:style w:type="character" w:customStyle="1" w:styleId="apple-converted-space">
    <w:name w:val="apple-converted-space"/>
    <w:basedOn w:val="DefaultParagraphFont"/>
    <w:rsid w:val="00D56661"/>
  </w:style>
  <w:style w:type="paragraph" w:styleId="NoSpacing">
    <w:name w:val="No Spacing"/>
    <w:uiPriority w:val="1"/>
    <w:qFormat/>
    <w:rsid w:val="00FC5376"/>
  </w:style>
  <w:style w:type="paragraph" w:styleId="Header">
    <w:name w:val="header"/>
    <w:basedOn w:val="Normal"/>
    <w:link w:val="HeaderChar"/>
    <w:uiPriority w:val="99"/>
    <w:unhideWhenUsed/>
    <w:rsid w:val="003967EA"/>
    <w:pPr>
      <w:tabs>
        <w:tab w:val="center" w:pos="4680"/>
        <w:tab w:val="right" w:pos="9360"/>
      </w:tabs>
    </w:pPr>
  </w:style>
  <w:style w:type="character" w:customStyle="1" w:styleId="HeaderChar">
    <w:name w:val="Header Char"/>
    <w:basedOn w:val="DefaultParagraphFont"/>
    <w:link w:val="Header"/>
    <w:uiPriority w:val="99"/>
    <w:rsid w:val="003967EA"/>
  </w:style>
  <w:style w:type="paragraph" w:styleId="Footer">
    <w:name w:val="footer"/>
    <w:basedOn w:val="Normal"/>
    <w:link w:val="FooterChar"/>
    <w:uiPriority w:val="99"/>
    <w:unhideWhenUsed/>
    <w:rsid w:val="003967EA"/>
    <w:pPr>
      <w:tabs>
        <w:tab w:val="center" w:pos="4680"/>
        <w:tab w:val="right" w:pos="9360"/>
      </w:tabs>
    </w:pPr>
  </w:style>
  <w:style w:type="character" w:customStyle="1" w:styleId="FooterChar">
    <w:name w:val="Footer Char"/>
    <w:basedOn w:val="DefaultParagraphFont"/>
    <w:link w:val="Footer"/>
    <w:uiPriority w:val="99"/>
    <w:rsid w:val="003967EA"/>
  </w:style>
  <w:style w:type="paragraph" w:styleId="BalloonText">
    <w:name w:val="Balloon Text"/>
    <w:basedOn w:val="Normal"/>
    <w:link w:val="BalloonTextChar"/>
    <w:uiPriority w:val="99"/>
    <w:semiHidden/>
    <w:unhideWhenUsed/>
    <w:rsid w:val="009676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603"/>
    <w:rPr>
      <w:rFonts w:ascii="Times New Roman" w:hAnsi="Times New Roman" w:cs="Times New Roman"/>
      <w:sz w:val="18"/>
      <w:szCs w:val="18"/>
    </w:rPr>
  </w:style>
  <w:style w:type="paragraph" w:customStyle="1" w:styleId="Default">
    <w:name w:val="Default"/>
    <w:rsid w:val="00FA1114"/>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88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Nordstrom-barnes</dc:creator>
  <cp:lastModifiedBy>Ann@annwarnerllc.com</cp:lastModifiedBy>
  <cp:revision>2</cp:revision>
  <cp:lastPrinted>2017-01-17T17:08:00Z</cp:lastPrinted>
  <dcterms:created xsi:type="dcterms:W3CDTF">2018-05-30T18:58:00Z</dcterms:created>
  <dcterms:modified xsi:type="dcterms:W3CDTF">2018-05-30T18:58:00Z</dcterms:modified>
</cp:coreProperties>
</file>