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63F1" w14:textId="77777777" w:rsidR="00C91629" w:rsidRDefault="00C91629" w:rsidP="00B743E8">
      <w:pPr>
        <w:pStyle w:val="NoSpacing"/>
        <w:jc w:val="center"/>
        <w:rPr>
          <w:rFonts w:ascii="Garamond" w:hAnsi="Garamond" w:cs="Arial"/>
          <w:b/>
          <w:bCs/>
          <w:sz w:val="28"/>
          <w:szCs w:val="28"/>
        </w:rPr>
      </w:pPr>
    </w:p>
    <w:p w14:paraId="4B94CC4C" w14:textId="4A422E98" w:rsidR="00770E9A" w:rsidRPr="00D63916" w:rsidRDefault="00B743E8" w:rsidP="00B743E8">
      <w:pPr>
        <w:pStyle w:val="NoSpacing"/>
        <w:jc w:val="center"/>
        <w:rPr>
          <w:rFonts w:ascii="Garamond" w:hAnsi="Garamond" w:cs="Arial"/>
          <w:b/>
          <w:bCs/>
          <w:sz w:val="28"/>
          <w:szCs w:val="28"/>
        </w:rPr>
      </w:pPr>
      <w:r w:rsidRPr="00D63916">
        <w:rPr>
          <w:rFonts w:ascii="Garamond" w:hAnsi="Garamond" w:cs="Arial"/>
          <w:b/>
          <w:bCs/>
          <w:sz w:val="28"/>
          <w:szCs w:val="28"/>
        </w:rPr>
        <w:t xml:space="preserve">TRB </w:t>
      </w:r>
      <w:r w:rsidR="00142435" w:rsidRPr="00D63916">
        <w:rPr>
          <w:rFonts w:ascii="Garamond" w:hAnsi="Garamond" w:cs="Arial"/>
          <w:b/>
          <w:bCs/>
          <w:sz w:val="28"/>
          <w:szCs w:val="28"/>
        </w:rPr>
        <w:t>Report Says U.S. Freight Rail Regulations Outdated</w:t>
      </w:r>
    </w:p>
    <w:p w14:paraId="266E515C" w14:textId="77777777" w:rsidR="00142435" w:rsidRPr="00D63916" w:rsidRDefault="00142435" w:rsidP="00B743E8">
      <w:pPr>
        <w:pStyle w:val="NoSpacing"/>
        <w:jc w:val="center"/>
        <w:rPr>
          <w:rFonts w:ascii="Garamond" w:hAnsi="Garamond" w:cs="Arial"/>
          <w:b/>
          <w:bCs/>
          <w:sz w:val="28"/>
          <w:szCs w:val="28"/>
        </w:rPr>
      </w:pPr>
      <w:r w:rsidRPr="00D63916">
        <w:rPr>
          <w:rFonts w:ascii="Garamond" w:hAnsi="Garamond" w:cs="Arial"/>
          <w:b/>
          <w:bCs/>
          <w:sz w:val="28"/>
          <w:szCs w:val="28"/>
        </w:rPr>
        <w:t>Recommends Modernization Efforts</w:t>
      </w:r>
    </w:p>
    <w:p w14:paraId="102D4BC7" w14:textId="77777777" w:rsidR="00C91629" w:rsidRDefault="00C91629" w:rsidP="00770E9A">
      <w:pPr>
        <w:pStyle w:val="NoSpacing"/>
        <w:rPr>
          <w:rFonts w:ascii="Garamond" w:hAnsi="Garamond"/>
          <w:b/>
          <w:color w:val="0070C0"/>
          <w:sz w:val="24"/>
          <w:szCs w:val="24"/>
        </w:rPr>
      </w:pPr>
    </w:p>
    <w:p w14:paraId="61DF3006" w14:textId="77777777" w:rsidR="00C91629" w:rsidRDefault="00C91629" w:rsidP="00770E9A">
      <w:pPr>
        <w:pStyle w:val="NoSpacing"/>
        <w:rPr>
          <w:rFonts w:ascii="Garamond" w:hAnsi="Garamond"/>
          <w:b/>
          <w:color w:val="0070C0"/>
          <w:sz w:val="24"/>
          <w:szCs w:val="24"/>
        </w:rPr>
      </w:pPr>
    </w:p>
    <w:p w14:paraId="709B02F9" w14:textId="34C0C1FF" w:rsidR="00D63916" w:rsidRPr="007C2D02" w:rsidRDefault="00D63916" w:rsidP="00770E9A">
      <w:pPr>
        <w:pStyle w:val="NoSpacing"/>
        <w:rPr>
          <w:rFonts w:ascii="Garamond" w:hAnsi="Garamond"/>
          <w:b/>
          <w:color w:val="0070C0"/>
          <w:sz w:val="24"/>
          <w:szCs w:val="24"/>
        </w:rPr>
      </w:pPr>
      <w:r w:rsidRPr="007C2D02">
        <w:rPr>
          <w:rFonts w:ascii="Garamond" w:hAnsi="Garamond"/>
          <w:b/>
          <w:color w:val="0070C0"/>
          <w:sz w:val="24"/>
          <w:szCs w:val="24"/>
        </w:rPr>
        <w:t>FRCA Position</w:t>
      </w:r>
    </w:p>
    <w:p w14:paraId="05CDFD07" w14:textId="77777777" w:rsidR="00732E0B" w:rsidRPr="007C2D02" w:rsidRDefault="00D63916" w:rsidP="00770E9A">
      <w:pPr>
        <w:pStyle w:val="NoSpacing"/>
        <w:rPr>
          <w:rFonts w:ascii="Garamond" w:hAnsi="Garamond"/>
        </w:rPr>
      </w:pPr>
      <w:r w:rsidRPr="007C2D02">
        <w:rPr>
          <w:rFonts w:ascii="Garamond" w:hAnsi="Garamond"/>
        </w:rPr>
        <w:t>FRCA encourages Members of Congress and their staff, officials in the Trump Administration, and all stakeholders to review this TRB report and consider the recommendations made when developing and implementing freight rail shipping policies – especially as policies affect shippers and those who are held captive or rail-dependents.</w:t>
      </w:r>
      <w:r w:rsidR="0006273E" w:rsidRPr="007C2D02">
        <w:rPr>
          <w:rFonts w:ascii="Garamond" w:hAnsi="Garamond"/>
        </w:rPr>
        <w:t xml:space="preserve"> </w:t>
      </w:r>
    </w:p>
    <w:p w14:paraId="4A709EAE" w14:textId="77777777" w:rsidR="00732E0B" w:rsidRPr="007C2D02" w:rsidRDefault="00732E0B" w:rsidP="00770E9A">
      <w:pPr>
        <w:pStyle w:val="NoSpacing"/>
        <w:rPr>
          <w:rFonts w:ascii="Garamond" w:hAnsi="Garamond"/>
        </w:rPr>
      </w:pPr>
    </w:p>
    <w:p w14:paraId="5D844855" w14:textId="77777777" w:rsidR="00D63916" w:rsidRPr="007C2D02" w:rsidRDefault="0006273E" w:rsidP="00770E9A">
      <w:pPr>
        <w:pStyle w:val="NoSpacing"/>
        <w:rPr>
          <w:rFonts w:ascii="Garamond" w:hAnsi="Garamond"/>
        </w:rPr>
      </w:pPr>
      <w:r w:rsidRPr="007C2D02">
        <w:rPr>
          <w:rFonts w:ascii="Garamond" w:hAnsi="Garamond"/>
        </w:rPr>
        <w:t>[</w:t>
      </w:r>
      <w:r w:rsidR="00732E0B" w:rsidRPr="007C2D02">
        <w:rPr>
          <w:rFonts w:ascii="Garamond" w:hAnsi="Garamond"/>
        </w:rPr>
        <w:t>Variations on s</w:t>
      </w:r>
      <w:r w:rsidRPr="007C2D02">
        <w:rPr>
          <w:rFonts w:ascii="Garamond" w:hAnsi="Garamond"/>
        </w:rPr>
        <w:t>ome of the be</w:t>
      </w:r>
      <w:r w:rsidR="00732E0B" w:rsidRPr="007C2D02">
        <w:rPr>
          <w:rFonts w:ascii="Garamond" w:hAnsi="Garamond"/>
        </w:rPr>
        <w:t xml:space="preserve">low recommendations were included in the </w:t>
      </w:r>
      <w:r w:rsidR="00732E0B" w:rsidRPr="007C2D02">
        <w:rPr>
          <w:rFonts w:ascii="Garamond" w:hAnsi="Garamond"/>
          <w:b/>
          <w:i/>
        </w:rPr>
        <w:t>Surface Transportation Board (STB) Reauthorization Act of 2015</w:t>
      </w:r>
      <w:r w:rsidR="00732E0B" w:rsidRPr="007C2D02">
        <w:rPr>
          <w:rFonts w:ascii="Garamond" w:hAnsi="Garamond"/>
        </w:rPr>
        <w:t xml:space="preserve">, P.L. 114-110.] </w:t>
      </w:r>
    </w:p>
    <w:p w14:paraId="36D7DDE4" w14:textId="77777777" w:rsidR="00D63916" w:rsidRPr="007C2D02" w:rsidRDefault="00D63916" w:rsidP="00770E9A">
      <w:pPr>
        <w:pStyle w:val="NoSpacing"/>
        <w:rPr>
          <w:rFonts w:ascii="Garamond" w:hAnsi="Garamond"/>
        </w:rPr>
      </w:pPr>
    </w:p>
    <w:p w14:paraId="126834B8" w14:textId="77777777" w:rsidR="00D63916" w:rsidRPr="00D63916" w:rsidRDefault="00D63916" w:rsidP="00770E9A">
      <w:pPr>
        <w:pStyle w:val="NoSpacing"/>
        <w:rPr>
          <w:rFonts w:ascii="Garamond" w:hAnsi="Garamond"/>
          <w:b/>
          <w:color w:val="0070C0"/>
          <w:sz w:val="24"/>
          <w:szCs w:val="24"/>
        </w:rPr>
      </w:pPr>
      <w:r w:rsidRPr="007C2D02">
        <w:rPr>
          <w:rFonts w:ascii="Garamond" w:hAnsi="Garamond"/>
          <w:b/>
          <w:color w:val="0070C0"/>
          <w:sz w:val="24"/>
          <w:szCs w:val="24"/>
        </w:rPr>
        <w:t>Background</w:t>
      </w:r>
    </w:p>
    <w:p w14:paraId="42BB35DC" w14:textId="77777777" w:rsidR="00B743E8" w:rsidRPr="00D63916" w:rsidRDefault="00B743E8" w:rsidP="00770E9A">
      <w:pPr>
        <w:pStyle w:val="NoSpacing"/>
        <w:rPr>
          <w:rFonts w:ascii="Garamond" w:hAnsi="Garamond"/>
        </w:rPr>
      </w:pPr>
      <w:r w:rsidRPr="00D63916">
        <w:rPr>
          <w:rFonts w:ascii="Garamond" w:hAnsi="Garamond"/>
        </w:rPr>
        <w:t>On June</w:t>
      </w:r>
      <w:r w:rsidR="00D63916">
        <w:rPr>
          <w:rFonts w:ascii="Garamond" w:hAnsi="Garamond"/>
        </w:rPr>
        <w:t xml:space="preserve"> </w:t>
      </w:r>
      <w:r w:rsidRPr="00D63916">
        <w:rPr>
          <w:rFonts w:ascii="Garamond" w:hAnsi="Garamond"/>
        </w:rPr>
        <w:t>10, 2015</w:t>
      </w:r>
      <w:r w:rsidR="00D63916">
        <w:rPr>
          <w:rFonts w:ascii="Garamond" w:hAnsi="Garamond"/>
        </w:rPr>
        <w:t>,</w:t>
      </w:r>
      <w:r w:rsidRPr="00D63916">
        <w:rPr>
          <w:rFonts w:ascii="Garamond" w:hAnsi="Garamond"/>
        </w:rPr>
        <w:t xml:space="preserve"> the National Research Council’s Transportation Research Board (TRB)/National Academy of Sciences released a report confirming what freight rail shippers have long asserted:  35 years after passage of the Staggers Rail Act and 20 years after passage of the ICC Termination Act, economic regulation of the nation’s freight railroads must be modernized to take into account the changes in both railroads and shippers.</w:t>
      </w:r>
    </w:p>
    <w:p w14:paraId="230E098C" w14:textId="77777777" w:rsidR="00B743E8" w:rsidRPr="00D63916" w:rsidRDefault="00B743E8" w:rsidP="00770E9A">
      <w:pPr>
        <w:pStyle w:val="NoSpacing"/>
        <w:rPr>
          <w:rFonts w:ascii="Garamond" w:hAnsi="Garamond"/>
        </w:rPr>
      </w:pPr>
    </w:p>
    <w:p w14:paraId="6C91046B" w14:textId="1E36FC08" w:rsidR="00142435" w:rsidRPr="00D63916" w:rsidRDefault="00B743E8" w:rsidP="00142435">
      <w:pPr>
        <w:pStyle w:val="NoSpacing"/>
        <w:rPr>
          <w:rFonts w:ascii="Garamond" w:hAnsi="Garamond" w:cs="Arial"/>
          <w:bCs/>
        </w:rPr>
      </w:pPr>
      <w:r w:rsidRPr="00D63916">
        <w:rPr>
          <w:rFonts w:ascii="Garamond" w:hAnsi="Garamond" w:cs="Arial"/>
          <w:bCs/>
        </w:rPr>
        <w:t>The report</w:t>
      </w:r>
      <w:r w:rsidR="00AF5098">
        <w:rPr>
          <w:rFonts w:ascii="Garamond" w:hAnsi="Garamond" w:cs="Arial"/>
          <w:bCs/>
        </w:rPr>
        <w:t>,</w:t>
      </w:r>
      <w:r w:rsidRPr="00D63916">
        <w:rPr>
          <w:rFonts w:ascii="Garamond" w:hAnsi="Garamond" w:cs="Arial"/>
          <w:bCs/>
        </w:rPr>
        <w:t xml:space="preserve"> “Modernizing Freight Rail Regulation</w:t>
      </w:r>
      <w:r w:rsidR="00AF5098">
        <w:rPr>
          <w:rFonts w:ascii="Garamond" w:hAnsi="Garamond" w:cs="Arial"/>
          <w:bCs/>
        </w:rPr>
        <w:t>,</w:t>
      </w:r>
      <w:r w:rsidRPr="00D63916">
        <w:rPr>
          <w:rFonts w:ascii="Garamond" w:hAnsi="Garamond" w:cs="Arial"/>
          <w:bCs/>
        </w:rPr>
        <w:t xml:space="preserve">” </w:t>
      </w:r>
      <w:r w:rsidR="00AF5098">
        <w:rPr>
          <w:rFonts w:ascii="Garamond" w:hAnsi="Garamond" w:cs="Arial"/>
          <w:bCs/>
        </w:rPr>
        <w:t xml:space="preserve">available at </w:t>
      </w:r>
      <w:hyperlink r:id="rId7" w:history="1">
        <w:r w:rsidR="00AF5098" w:rsidRPr="00D63916">
          <w:rPr>
            <w:rStyle w:val="Hyperlink"/>
            <w:rFonts w:ascii="Garamond" w:hAnsi="Garamond"/>
          </w:rPr>
          <w:t>http://www.trb.org/Main/Blurbs/172736.aspx</w:t>
        </w:r>
      </w:hyperlink>
      <w:r w:rsidR="00AF5098" w:rsidRPr="00D63916">
        <w:rPr>
          <w:rFonts w:ascii="Garamond" w:hAnsi="Garamond"/>
        </w:rPr>
        <w:t xml:space="preserve">, </w:t>
      </w:r>
      <w:r w:rsidR="00BD331A">
        <w:rPr>
          <w:rFonts w:ascii="Garamond" w:hAnsi="Garamond"/>
        </w:rPr>
        <w:t>finds substantial fault with the existing regulatory approach and recommends a very different alternative</w:t>
      </w:r>
      <w:r w:rsidRPr="00D63916">
        <w:rPr>
          <w:rFonts w:ascii="Garamond" w:hAnsi="Garamond" w:cs="Arial"/>
          <w:bCs/>
        </w:rPr>
        <w:t>:</w:t>
      </w:r>
    </w:p>
    <w:p w14:paraId="12635E6E" w14:textId="77777777" w:rsidR="00770E9A" w:rsidRPr="00D63916" w:rsidRDefault="00770E9A" w:rsidP="00142435">
      <w:pPr>
        <w:pStyle w:val="NoSpacing"/>
        <w:rPr>
          <w:rFonts w:ascii="Garamond" w:hAnsi="Garamond"/>
        </w:rPr>
      </w:pPr>
    </w:p>
    <w:p w14:paraId="092A689F" w14:textId="77777777" w:rsidR="00B743E8" w:rsidRPr="00D63916" w:rsidRDefault="00B743E8" w:rsidP="002E5844">
      <w:pPr>
        <w:pStyle w:val="ListParagraph"/>
        <w:numPr>
          <w:ilvl w:val="0"/>
          <w:numId w:val="2"/>
        </w:numPr>
        <w:rPr>
          <w:rFonts w:ascii="Garamond" w:hAnsi="Garamond"/>
          <w:sz w:val="22"/>
          <w:szCs w:val="22"/>
        </w:rPr>
      </w:pPr>
      <w:r w:rsidRPr="00D63916">
        <w:rPr>
          <w:rFonts w:ascii="Garamond" w:hAnsi="Garamond" w:cs="Times New Roman"/>
          <w:iCs/>
          <w:sz w:val="22"/>
          <w:szCs w:val="22"/>
        </w:rPr>
        <w:t xml:space="preserve">The replacement of </w:t>
      </w:r>
      <w:r w:rsidRPr="00D63916">
        <w:rPr>
          <w:rFonts w:ascii="Garamond" w:hAnsi="Garamond" w:cs="Times New Roman"/>
          <w:sz w:val="22"/>
          <w:szCs w:val="22"/>
        </w:rPr>
        <w:t>STB rate reasonableness hearings with arbitration procedures that compel faster resolutions of disputes involving rates deemed eligible for challenge because they substantially exceed their competitive rate benchmarks;</w:t>
      </w:r>
    </w:p>
    <w:p w14:paraId="3AFC5A41" w14:textId="77777777" w:rsidR="00B743E8" w:rsidRPr="00D63916" w:rsidRDefault="00B743E8" w:rsidP="002E5844">
      <w:pPr>
        <w:pStyle w:val="ListParagraph"/>
        <w:numPr>
          <w:ilvl w:val="0"/>
          <w:numId w:val="2"/>
        </w:numPr>
        <w:rPr>
          <w:rFonts w:ascii="Garamond" w:hAnsi="Garamond"/>
          <w:sz w:val="22"/>
          <w:szCs w:val="22"/>
        </w:rPr>
      </w:pPr>
      <w:r w:rsidRPr="00D63916">
        <w:rPr>
          <w:rFonts w:ascii="Garamond" w:hAnsi="Garamond" w:cs="Times New Roman"/>
          <w:sz w:val="22"/>
          <w:szCs w:val="22"/>
        </w:rPr>
        <w:t>Ending annual determinations of railroad revenue adequacy;</w:t>
      </w:r>
    </w:p>
    <w:p w14:paraId="7E1F35D1" w14:textId="77777777" w:rsidR="00B743E8" w:rsidRPr="00D63916" w:rsidRDefault="00B743E8" w:rsidP="002E5844">
      <w:pPr>
        <w:pStyle w:val="NoSpacing"/>
        <w:numPr>
          <w:ilvl w:val="0"/>
          <w:numId w:val="2"/>
        </w:numPr>
        <w:rPr>
          <w:rFonts w:ascii="Garamond" w:hAnsi="Garamond" w:cs="Times New Roman"/>
        </w:rPr>
      </w:pPr>
      <w:r w:rsidRPr="00D63916">
        <w:rPr>
          <w:rFonts w:ascii="Garamond" w:hAnsi="Garamond" w:cs="Times New Roman"/>
          <w:bCs/>
        </w:rPr>
        <w:t xml:space="preserve">Reviewing and introducing </w:t>
      </w:r>
      <w:r w:rsidRPr="00D63916">
        <w:rPr>
          <w:rFonts w:ascii="Garamond" w:hAnsi="Garamond" w:cs="Times New Roman"/>
        </w:rPr>
        <w:t>means to improve the accuracy, utility, timeliness, and availability</w:t>
      </w:r>
      <w:r w:rsidR="00770E9A" w:rsidRPr="00D63916">
        <w:rPr>
          <w:rFonts w:ascii="Garamond" w:hAnsi="Garamond" w:cs="Times New Roman"/>
        </w:rPr>
        <w:t xml:space="preserve"> of the Carload Waybill Sample;</w:t>
      </w:r>
    </w:p>
    <w:p w14:paraId="0E609AB3" w14:textId="77777777" w:rsidR="00B743E8" w:rsidRPr="00D63916" w:rsidRDefault="00B743E8" w:rsidP="002E5844">
      <w:pPr>
        <w:pStyle w:val="NoSpacing"/>
        <w:numPr>
          <w:ilvl w:val="0"/>
          <w:numId w:val="2"/>
        </w:numPr>
        <w:rPr>
          <w:rFonts w:ascii="Garamond" w:hAnsi="Garamond" w:cs="Times New Roman"/>
        </w:rPr>
      </w:pPr>
      <w:r w:rsidRPr="00D63916">
        <w:rPr>
          <w:rFonts w:ascii="Garamond" w:hAnsi="Garamond" w:cs="Times New Roman"/>
          <w:bCs/>
        </w:rPr>
        <w:t>Allow reciprocal switching as a remedy for unreasonable rates; and</w:t>
      </w:r>
    </w:p>
    <w:p w14:paraId="2B1B7D9A" w14:textId="77777777" w:rsidR="00B743E8" w:rsidRPr="00BD331A" w:rsidRDefault="00B743E8" w:rsidP="006D506E">
      <w:pPr>
        <w:pStyle w:val="ListParagraph"/>
        <w:numPr>
          <w:ilvl w:val="0"/>
          <w:numId w:val="2"/>
        </w:numPr>
        <w:spacing w:after="160"/>
        <w:rPr>
          <w:rFonts w:ascii="Garamond" w:hAnsi="Garamond"/>
          <w:sz w:val="22"/>
          <w:szCs w:val="22"/>
        </w:rPr>
      </w:pPr>
      <w:r w:rsidRPr="00D63916">
        <w:rPr>
          <w:rFonts w:ascii="Garamond" w:hAnsi="Garamond" w:cs="Times New Roman"/>
          <w:bCs/>
          <w:sz w:val="22"/>
          <w:szCs w:val="22"/>
        </w:rPr>
        <w:t>Transfer merger review authority to the antitrust agencies and apply customary antitrust principles rather than a public interest standard.</w:t>
      </w:r>
    </w:p>
    <w:p w14:paraId="2E5087BA" w14:textId="77116992" w:rsidR="00BD331A" w:rsidRDefault="00BD331A" w:rsidP="00770E9A">
      <w:pPr>
        <w:rPr>
          <w:rFonts w:ascii="Garamond" w:hAnsi="Garamond"/>
        </w:rPr>
      </w:pPr>
      <w:r>
        <w:rPr>
          <w:rFonts w:ascii="Garamond" w:hAnsi="Garamond"/>
        </w:rPr>
        <w:t xml:space="preserve">The Transportation Research Board’s recommendations </w:t>
      </w:r>
      <w:r w:rsidR="005A4382">
        <w:rPr>
          <w:rFonts w:ascii="Garamond" w:hAnsi="Garamond"/>
        </w:rPr>
        <w:t>correspond closely to many of FRCA’s long-standing recommendations:</w:t>
      </w:r>
    </w:p>
    <w:p w14:paraId="720BEAE4" w14:textId="4E3F198C" w:rsidR="00C91629" w:rsidRDefault="00C91629" w:rsidP="00770E9A"/>
    <w:p w14:paraId="4AF451ED" w14:textId="19F7DE7F" w:rsidR="00C91629" w:rsidRDefault="00C91629" w:rsidP="00770E9A"/>
    <w:p w14:paraId="551F691B" w14:textId="311008C7" w:rsidR="00C91629" w:rsidRDefault="00C91629" w:rsidP="00770E9A"/>
    <w:p w14:paraId="4F2D7736" w14:textId="77777777" w:rsidR="00C91629" w:rsidRDefault="00C91629" w:rsidP="00770E9A"/>
    <w:tbl>
      <w:tblPr>
        <w:tblStyle w:val="TableGrid"/>
        <w:tblW w:w="14148" w:type="dxa"/>
        <w:tblLook w:val="04A0" w:firstRow="1" w:lastRow="0" w:firstColumn="1" w:lastColumn="0" w:noHBand="0" w:noVBand="1"/>
      </w:tblPr>
      <w:tblGrid>
        <w:gridCol w:w="6588"/>
        <w:gridCol w:w="7560"/>
      </w:tblGrid>
      <w:tr w:rsidR="00770E9A" w:rsidRPr="00791B54" w14:paraId="56210611" w14:textId="77777777" w:rsidTr="00770E9A">
        <w:tc>
          <w:tcPr>
            <w:tcW w:w="6588" w:type="dxa"/>
            <w:shd w:val="clear" w:color="auto" w:fill="202020"/>
          </w:tcPr>
          <w:p w14:paraId="6273ABE8" w14:textId="77777777" w:rsidR="00770E9A" w:rsidRPr="00791B54" w:rsidRDefault="00770E9A" w:rsidP="005B246A">
            <w:pPr>
              <w:pStyle w:val="NoSpacing"/>
              <w:jc w:val="center"/>
              <w:rPr>
                <w:rFonts w:ascii="Times New Roman" w:hAnsi="Times New Roman" w:cs="Times New Roman"/>
              </w:rPr>
            </w:pPr>
            <w:r>
              <w:rPr>
                <w:rFonts w:ascii="Times New Roman" w:hAnsi="Times New Roman" w:cs="Times New Roman"/>
              </w:rPr>
              <w:t>FRCA RECOMMENDATIONS</w:t>
            </w:r>
          </w:p>
        </w:tc>
        <w:tc>
          <w:tcPr>
            <w:tcW w:w="7560" w:type="dxa"/>
            <w:shd w:val="clear" w:color="auto" w:fill="202020"/>
          </w:tcPr>
          <w:p w14:paraId="0A96CC1C" w14:textId="77777777" w:rsidR="00770E9A" w:rsidRPr="00791B54" w:rsidRDefault="00770E9A" w:rsidP="005B246A">
            <w:pPr>
              <w:pStyle w:val="NoSpacing"/>
              <w:jc w:val="center"/>
              <w:rPr>
                <w:rFonts w:ascii="Times New Roman" w:hAnsi="Times New Roman" w:cs="Times New Roman"/>
              </w:rPr>
            </w:pPr>
            <w:r w:rsidRPr="00791B54">
              <w:rPr>
                <w:rFonts w:ascii="Times New Roman" w:hAnsi="Times New Roman" w:cs="Times New Roman"/>
              </w:rPr>
              <w:t>TRANSPORTATION RESEARCH BOARD</w:t>
            </w:r>
            <w:r>
              <w:rPr>
                <w:rFonts w:ascii="Times New Roman" w:hAnsi="Times New Roman" w:cs="Times New Roman"/>
              </w:rPr>
              <w:t xml:space="preserve"> RECOMMENDATIONS</w:t>
            </w:r>
          </w:p>
        </w:tc>
      </w:tr>
      <w:tr w:rsidR="00770E9A" w:rsidRPr="007C2D02" w14:paraId="3C4FD3E5" w14:textId="77777777" w:rsidTr="00770E9A">
        <w:tc>
          <w:tcPr>
            <w:tcW w:w="6588" w:type="dxa"/>
          </w:tcPr>
          <w:p w14:paraId="4BF2A759" w14:textId="77777777" w:rsidR="00975F91" w:rsidRDefault="00975F91" w:rsidP="005B246A">
            <w:pPr>
              <w:pStyle w:val="NoSpacing"/>
              <w:rPr>
                <w:rFonts w:ascii="Garamond" w:hAnsi="Garamond" w:cs="Arial"/>
                <w:sz w:val="22"/>
                <w:szCs w:val="22"/>
              </w:rPr>
            </w:pPr>
          </w:p>
          <w:p w14:paraId="370ACDC2" w14:textId="77777777" w:rsidR="00770E9A" w:rsidRPr="007C2D02" w:rsidRDefault="00770E9A" w:rsidP="005B246A">
            <w:pPr>
              <w:pStyle w:val="NoSpacing"/>
              <w:rPr>
                <w:rFonts w:ascii="Garamond" w:hAnsi="Garamond" w:cs="Arial"/>
                <w:sz w:val="22"/>
                <w:szCs w:val="22"/>
              </w:rPr>
            </w:pPr>
            <w:r w:rsidRPr="007C2D02">
              <w:rPr>
                <w:rFonts w:ascii="Garamond" w:hAnsi="Garamond" w:cs="Arial"/>
                <w:sz w:val="22"/>
                <w:szCs w:val="22"/>
              </w:rPr>
              <w:t xml:space="preserve">STB be given authority to require the use of binding arbitration as a quicker and less expensive approach in appropriate cases. </w:t>
            </w:r>
          </w:p>
        </w:tc>
        <w:tc>
          <w:tcPr>
            <w:tcW w:w="7560" w:type="dxa"/>
          </w:tcPr>
          <w:p w14:paraId="34846FCE" w14:textId="77777777" w:rsidR="00975F91" w:rsidRDefault="00975F91" w:rsidP="00B02401">
            <w:pPr>
              <w:pStyle w:val="NoSpacing"/>
              <w:rPr>
                <w:rFonts w:ascii="Garamond" w:hAnsi="Garamond" w:cs="Arial"/>
                <w:iCs/>
                <w:sz w:val="22"/>
                <w:szCs w:val="22"/>
              </w:rPr>
            </w:pPr>
          </w:p>
          <w:p w14:paraId="6CD1B45B" w14:textId="757E4ECE" w:rsidR="00001065" w:rsidRDefault="00770E9A" w:rsidP="00975F91">
            <w:pPr>
              <w:pStyle w:val="NoSpacing"/>
              <w:rPr>
                <w:rFonts w:ascii="Garamond" w:hAnsi="Garamond" w:cs="Arial"/>
                <w:sz w:val="22"/>
                <w:szCs w:val="22"/>
              </w:rPr>
            </w:pPr>
            <w:r w:rsidRPr="007C2D02">
              <w:rPr>
                <w:rFonts w:ascii="Garamond" w:hAnsi="Garamond" w:cs="Arial"/>
                <w:iCs/>
                <w:sz w:val="22"/>
                <w:szCs w:val="22"/>
              </w:rPr>
              <w:t>Replace</w:t>
            </w:r>
            <w:r w:rsidR="00B02401" w:rsidRPr="007C2D02">
              <w:rPr>
                <w:rFonts w:ascii="Garamond" w:hAnsi="Garamond" w:cs="Arial"/>
                <w:iCs/>
                <w:sz w:val="22"/>
                <w:szCs w:val="22"/>
              </w:rPr>
              <w:t xml:space="preserve"> </w:t>
            </w:r>
            <w:r w:rsidRPr="007C2D02">
              <w:rPr>
                <w:rFonts w:ascii="Garamond" w:hAnsi="Garamond" w:cs="Arial"/>
                <w:sz w:val="22"/>
                <w:szCs w:val="22"/>
              </w:rPr>
              <w:t xml:space="preserve">STB rate reasonableness hearings with arbitration procedures that compel faster resolutions of disputes involving rates deemed eligible for challenge because they substantially exceed their competitive rate benchmarks. </w:t>
            </w:r>
          </w:p>
          <w:p w14:paraId="09A22994" w14:textId="77777777" w:rsidR="00B0692E" w:rsidRDefault="00B0692E" w:rsidP="00975F91">
            <w:pPr>
              <w:pStyle w:val="NoSpacing"/>
              <w:rPr>
                <w:rFonts w:ascii="Garamond" w:hAnsi="Garamond"/>
                <w:sz w:val="22"/>
                <w:szCs w:val="22"/>
              </w:rPr>
            </w:pPr>
          </w:p>
          <w:p w14:paraId="4FC4647C" w14:textId="4DF36FB5" w:rsidR="00167A2E" w:rsidRPr="007C2D02" w:rsidRDefault="00975F91" w:rsidP="00B0692E">
            <w:pPr>
              <w:pStyle w:val="NoSpacing"/>
              <w:rPr>
                <w:rFonts w:ascii="Garamond" w:hAnsi="Garamond" w:cs="Arial"/>
                <w:sz w:val="22"/>
                <w:szCs w:val="22"/>
              </w:rPr>
            </w:pPr>
            <w:r w:rsidRPr="00001065">
              <w:rPr>
                <w:rFonts w:ascii="Garamond" w:hAnsi="Garamond"/>
                <w:sz w:val="22"/>
                <w:szCs w:val="22"/>
              </w:rPr>
              <w:t xml:space="preserve">[On </w:t>
            </w:r>
            <w:r w:rsidR="00B0692E">
              <w:rPr>
                <w:rFonts w:ascii="Garamond" w:hAnsi="Garamond"/>
                <w:sz w:val="22"/>
                <w:szCs w:val="22"/>
              </w:rPr>
              <w:t xml:space="preserve">September </w:t>
            </w:r>
            <w:r w:rsidRPr="00001065">
              <w:rPr>
                <w:rFonts w:ascii="Garamond" w:hAnsi="Garamond"/>
                <w:sz w:val="22"/>
                <w:szCs w:val="22"/>
              </w:rPr>
              <w:t>30</w:t>
            </w:r>
            <w:r w:rsidR="00B0692E">
              <w:rPr>
                <w:rFonts w:ascii="Garamond" w:hAnsi="Garamond"/>
                <w:sz w:val="22"/>
                <w:szCs w:val="22"/>
              </w:rPr>
              <w:t xml:space="preserve">, </w:t>
            </w:r>
            <w:r w:rsidRPr="00001065">
              <w:rPr>
                <w:rFonts w:ascii="Garamond" w:hAnsi="Garamond"/>
                <w:sz w:val="22"/>
                <w:szCs w:val="22"/>
              </w:rPr>
              <w:t xml:space="preserve">2016, STB issued a Final Rule, EP Docket No. 730, </w:t>
            </w:r>
            <w:r w:rsidRPr="00001065">
              <w:rPr>
                <w:rFonts w:ascii="Garamond" w:hAnsi="Garamond"/>
                <w:i/>
                <w:sz w:val="22"/>
                <w:szCs w:val="22"/>
                <w:u w:val="single"/>
              </w:rPr>
              <w:t>Revisions to Arbitrations Procedures</w:t>
            </w:r>
            <w:r w:rsidRPr="00001065">
              <w:rPr>
                <w:rFonts w:ascii="Garamond" w:hAnsi="Garamond"/>
                <w:sz w:val="22"/>
                <w:szCs w:val="22"/>
              </w:rPr>
              <w:t xml:space="preserve">, as required by the </w:t>
            </w:r>
            <w:r w:rsidRPr="00001065">
              <w:rPr>
                <w:rFonts w:ascii="Garamond" w:hAnsi="Garamond"/>
                <w:b/>
                <w:i/>
                <w:sz w:val="22"/>
                <w:szCs w:val="22"/>
              </w:rPr>
              <w:t>STB Reauthorization Act of 2015</w:t>
            </w:r>
            <w:r w:rsidRPr="00001065">
              <w:rPr>
                <w:rFonts w:ascii="Garamond" w:hAnsi="Garamond"/>
                <w:sz w:val="22"/>
                <w:szCs w:val="22"/>
              </w:rPr>
              <w:t>, P.L. 114-110]</w:t>
            </w:r>
          </w:p>
        </w:tc>
      </w:tr>
      <w:tr w:rsidR="00770E9A" w:rsidRPr="007C2D02" w14:paraId="467E7E39" w14:textId="77777777" w:rsidTr="00770E9A">
        <w:tc>
          <w:tcPr>
            <w:tcW w:w="6588" w:type="dxa"/>
          </w:tcPr>
          <w:p w14:paraId="5D80D2C7" w14:textId="77777777" w:rsidR="00975F91" w:rsidRDefault="00975F91" w:rsidP="005B246A">
            <w:pPr>
              <w:pStyle w:val="NoSpacing"/>
              <w:rPr>
                <w:rFonts w:ascii="Garamond" w:hAnsi="Garamond" w:cs="Arial"/>
                <w:sz w:val="22"/>
                <w:szCs w:val="22"/>
              </w:rPr>
            </w:pPr>
          </w:p>
          <w:p w14:paraId="32230D49" w14:textId="57453A5E" w:rsidR="00770E9A" w:rsidRPr="007C2D02" w:rsidRDefault="00770E9A" w:rsidP="005A4382">
            <w:pPr>
              <w:pStyle w:val="NoSpacing"/>
              <w:rPr>
                <w:rFonts w:ascii="Garamond" w:hAnsi="Garamond" w:cs="Arial"/>
                <w:sz w:val="22"/>
                <w:szCs w:val="22"/>
              </w:rPr>
            </w:pPr>
            <w:r w:rsidRPr="007C2D02">
              <w:rPr>
                <w:rFonts w:ascii="Garamond" w:hAnsi="Garamond" w:cs="Arial"/>
                <w:sz w:val="22"/>
                <w:szCs w:val="22"/>
              </w:rPr>
              <w:t xml:space="preserve">STB be required to publish publicly available quarterly reports, estimating the percentages of </w:t>
            </w:r>
            <w:r w:rsidR="005A4382">
              <w:rPr>
                <w:rFonts w:ascii="Garamond" w:hAnsi="Garamond" w:cs="Arial"/>
                <w:sz w:val="22"/>
                <w:szCs w:val="22"/>
              </w:rPr>
              <w:t xml:space="preserve">the rates of </w:t>
            </w:r>
            <w:r w:rsidRPr="007C2D02">
              <w:rPr>
                <w:rFonts w:ascii="Garamond" w:hAnsi="Garamond" w:cs="Arial"/>
                <w:sz w:val="22"/>
                <w:szCs w:val="22"/>
              </w:rPr>
              <w:t>all Class I carriers</w:t>
            </w:r>
            <w:r w:rsidR="005A4382">
              <w:rPr>
                <w:rFonts w:ascii="Garamond" w:hAnsi="Garamond" w:cs="Arial"/>
                <w:sz w:val="22"/>
                <w:szCs w:val="22"/>
              </w:rPr>
              <w:t xml:space="preserve"> for</w:t>
            </w:r>
            <w:r w:rsidRPr="007C2D02">
              <w:rPr>
                <w:rFonts w:ascii="Garamond" w:hAnsi="Garamond" w:cs="Arial"/>
                <w:sz w:val="22"/>
                <w:szCs w:val="22"/>
              </w:rPr>
              <w:t xml:space="preserve"> non-exempt </w:t>
            </w:r>
            <w:r w:rsidR="005A4382">
              <w:rPr>
                <w:rFonts w:ascii="Garamond" w:hAnsi="Garamond" w:cs="Arial"/>
                <w:sz w:val="22"/>
                <w:szCs w:val="22"/>
              </w:rPr>
              <w:t>traffic</w:t>
            </w:r>
            <w:r w:rsidRPr="007C2D02">
              <w:rPr>
                <w:rFonts w:ascii="Garamond" w:hAnsi="Garamond" w:cs="Arial"/>
                <w:sz w:val="22"/>
                <w:szCs w:val="22"/>
              </w:rPr>
              <w:t xml:space="preserve"> that are above 180% Revenu</w:t>
            </w:r>
            <w:r w:rsidR="002E5844" w:rsidRPr="007C2D02">
              <w:rPr>
                <w:rFonts w:ascii="Garamond" w:hAnsi="Garamond" w:cs="Arial"/>
                <w:sz w:val="22"/>
                <w:szCs w:val="22"/>
              </w:rPr>
              <w:t>e-to-Variable Cost (RVC) Ratios.</w:t>
            </w:r>
          </w:p>
        </w:tc>
        <w:tc>
          <w:tcPr>
            <w:tcW w:w="7560" w:type="dxa"/>
          </w:tcPr>
          <w:p w14:paraId="05C18011" w14:textId="77777777" w:rsidR="00732E0B" w:rsidRPr="007C2D02" w:rsidRDefault="00732E0B" w:rsidP="005B246A">
            <w:pPr>
              <w:pStyle w:val="NoSpacing"/>
              <w:rPr>
                <w:rFonts w:ascii="Garamond" w:hAnsi="Garamond" w:cs="Arial"/>
                <w:bCs/>
                <w:sz w:val="22"/>
                <w:szCs w:val="22"/>
              </w:rPr>
            </w:pPr>
          </w:p>
          <w:p w14:paraId="6B5AB7C8" w14:textId="653A9E5C" w:rsidR="00770E9A" w:rsidRPr="007C2D02" w:rsidRDefault="00B02401" w:rsidP="005B246A">
            <w:pPr>
              <w:pStyle w:val="NoSpacing"/>
              <w:rPr>
                <w:rFonts w:ascii="Garamond" w:hAnsi="Garamond" w:cs="Arial"/>
                <w:bCs/>
                <w:sz w:val="22"/>
                <w:szCs w:val="22"/>
              </w:rPr>
            </w:pPr>
            <w:r w:rsidRPr="007C2D02">
              <w:rPr>
                <w:rFonts w:ascii="Garamond" w:hAnsi="Garamond" w:cs="Arial"/>
                <w:bCs/>
                <w:sz w:val="22"/>
                <w:szCs w:val="22"/>
              </w:rPr>
              <w:t xml:space="preserve">U.S. </w:t>
            </w:r>
            <w:r w:rsidR="00770E9A" w:rsidRPr="007C2D02">
              <w:rPr>
                <w:rFonts w:ascii="Garamond" w:hAnsi="Garamond" w:cs="Arial"/>
                <w:bCs/>
                <w:sz w:val="22"/>
                <w:szCs w:val="22"/>
              </w:rPr>
              <w:t xml:space="preserve">Congress </w:t>
            </w:r>
            <w:r w:rsidRPr="007C2D02">
              <w:rPr>
                <w:rFonts w:ascii="Garamond" w:hAnsi="Garamond" w:cs="Arial"/>
                <w:bCs/>
                <w:sz w:val="22"/>
                <w:szCs w:val="22"/>
              </w:rPr>
              <w:t xml:space="preserve">should </w:t>
            </w:r>
            <w:r w:rsidR="00770E9A" w:rsidRPr="007C2D02">
              <w:rPr>
                <w:rFonts w:ascii="Garamond" w:hAnsi="Garamond" w:cs="Arial"/>
                <w:bCs/>
                <w:sz w:val="22"/>
                <w:szCs w:val="22"/>
              </w:rPr>
              <w:t xml:space="preserve">prepare </w:t>
            </w:r>
            <w:r w:rsidRPr="007C2D02">
              <w:rPr>
                <w:rFonts w:ascii="Garamond" w:hAnsi="Garamond" w:cs="Arial"/>
                <w:bCs/>
                <w:sz w:val="22"/>
                <w:szCs w:val="22"/>
              </w:rPr>
              <w:t xml:space="preserve">to </w:t>
            </w:r>
            <w:r w:rsidR="00770E9A" w:rsidRPr="007C2D02">
              <w:rPr>
                <w:rFonts w:ascii="Garamond" w:hAnsi="Garamond" w:cs="Arial"/>
                <w:bCs/>
                <w:sz w:val="22"/>
                <w:szCs w:val="22"/>
              </w:rPr>
              <w:t>repeal</w:t>
            </w:r>
            <w:r w:rsidRPr="007C2D02">
              <w:rPr>
                <w:rFonts w:ascii="Garamond" w:hAnsi="Garamond" w:cs="Arial"/>
                <w:bCs/>
                <w:sz w:val="22"/>
                <w:szCs w:val="22"/>
              </w:rPr>
              <w:t xml:space="preserve"> </w:t>
            </w:r>
            <w:r w:rsidR="00770E9A" w:rsidRPr="007C2D02">
              <w:rPr>
                <w:rFonts w:ascii="Garamond" w:hAnsi="Garamond" w:cs="Arial"/>
                <w:bCs/>
                <w:sz w:val="22"/>
                <w:szCs w:val="22"/>
              </w:rPr>
              <w:t xml:space="preserve">the 180 percent revenue-to-variable-cost formula </w:t>
            </w:r>
            <w:r w:rsidR="005A4382">
              <w:rPr>
                <w:rFonts w:ascii="Garamond" w:hAnsi="Garamond" w:cs="Arial"/>
                <w:bCs/>
                <w:sz w:val="22"/>
                <w:szCs w:val="22"/>
              </w:rPr>
              <w:t xml:space="preserve">for the jurisdictional threshold </w:t>
            </w:r>
            <w:r w:rsidR="00770E9A" w:rsidRPr="007C2D02">
              <w:rPr>
                <w:rFonts w:ascii="Garamond" w:hAnsi="Garamond" w:cs="Arial"/>
                <w:bCs/>
                <w:sz w:val="22"/>
                <w:szCs w:val="22"/>
              </w:rPr>
              <w:t xml:space="preserve">by directing USDOT to develop, test, and refine competitive rate benchmarking methods that can replace </w:t>
            </w:r>
            <w:r w:rsidR="00001065">
              <w:rPr>
                <w:rFonts w:ascii="Garamond" w:hAnsi="Garamond" w:cs="Arial"/>
                <w:bCs/>
                <w:sz w:val="22"/>
                <w:szCs w:val="22"/>
              </w:rPr>
              <w:t>the Uniform Rail Costing System (</w:t>
            </w:r>
            <w:r w:rsidR="00770E9A" w:rsidRPr="007C2D02">
              <w:rPr>
                <w:rFonts w:ascii="Garamond" w:hAnsi="Garamond" w:cs="Arial"/>
                <w:bCs/>
                <w:sz w:val="22"/>
                <w:szCs w:val="22"/>
              </w:rPr>
              <w:t>URCS</w:t>
            </w:r>
            <w:r w:rsidR="00001065">
              <w:rPr>
                <w:rFonts w:ascii="Garamond" w:hAnsi="Garamond" w:cs="Arial"/>
                <w:bCs/>
                <w:sz w:val="22"/>
                <w:szCs w:val="22"/>
              </w:rPr>
              <w:t>)</w:t>
            </w:r>
            <w:r w:rsidR="00770E9A" w:rsidRPr="007C2D02">
              <w:rPr>
                <w:rFonts w:ascii="Garamond" w:hAnsi="Garamond" w:cs="Arial"/>
                <w:bCs/>
                <w:sz w:val="22"/>
                <w:szCs w:val="22"/>
              </w:rPr>
              <w:t xml:space="preserve"> in screening rates for eligibility to be challenged.</w:t>
            </w:r>
          </w:p>
          <w:p w14:paraId="124968EC" w14:textId="77777777" w:rsidR="00D63916" w:rsidRPr="007C2D02" w:rsidRDefault="00D63916" w:rsidP="005B246A">
            <w:pPr>
              <w:pStyle w:val="NoSpacing"/>
              <w:rPr>
                <w:rFonts w:ascii="Garamond" w:hAnsi="Garamond" w:cs="Arial"/>
                <w:bCs/>
                <w:sz w:val="22"/>
                <w:szCs w:val="22"/>
              </w:rPr>
            </w:pPr>
          </w:p>
          <w:p w14:paraId="254AE38D" w14:textId="77777777" w:rsidR="00770E9A" w:rsidRPr="007C2D02" w:rsidRDefault="00770E9A" w:rsidP="005B246A">
            <w:pPr>
              <w:pStyle w:val="NoSpacing"/>
              <w:rPr>
                <w:rFonts w:ascii="Garamond" w:hAnsi="Garamond" w:cs="Arial"/>
                <w:sz w:val="22"/>
                <w:szCs w:val="22"/>
              </w:rPr>
            </w:pPr>
            <w:r w:rsidRPr="007C2D02">
              <w:rPr>
                <w:rFonts w:ascii="Garamond" w:hAnsi="Garamond" w:cs="Arial"/>
                <w:sz w:val="22"/>
                <w:szCs w:val="22"/>
              </w:rPr>
              <w:t>End the economically unsound regulatory requirement of estimating the variable cost of railroad movements to allow STB to dispense with all cost allocation schemes such as URCS.</w:t>
            </w:r>
          </w:p>
          <w:p w14:paraId="45086C71" w14:textId="77777777" w:rsidR="00770E9A" w:rsidRPr="007C2D02" w:rsidRDefault="00770E9A" w:rsidP="005B246A">
            <w:pPr>
              <w:pStyle w:val="NoSpacing"/>
              <w:rPr>
                <w:rFonts w:ascii="Garamond" w:hAnsi="Garamond" w:cs="Arial"/>
                <w:sz w:val="22"/>
                <w:szCs w:val="22"/>
              </w:rPr>
            </w:pPr>
          </w:p>
          <w:p w14:paraId="6F350B2E" w14:textId="77777777" w:rsidR="00770E9A" w:rsidRPr="007C2D02" w:rsidRDefault="00770E9A" w:rsidP="005B246A">
            <w:pPr>
              <w:pStyle w:val="NoSpacing"/>
              <w:rPr>
                <w:rFonts w:ascii="Garamond" w:hAnsi="Garamond" w:cs="Arial"/>
                <w:sz w:val="22"/>
                <w:szCs w:val="22"/>
              </w:rPr>
            </w:pPr>
            <w:r w:rsidRPr="007C2D02">
              <w:rPr>
                <w:rFonts w:ascii="Garamond" w:hAnsi="Garamond" w:cs="Arial"/>
                <w:sz w:val="22"/>
                <w:szCs w:val="22"/>
              </w:rPr>
              <w:t xml:space="preserve">Move closer to common law notions of rate fairness by introducing a rate screening process that allows shippers to seek relief if they are paying tariff rates that are unusually high in comparison with rates paid for similar shipments in markets having more competition options. </w:t>
            </w:r>
          </w:p>
          <w:p w14:paraId="60FAE5A3" w14:textId="77777777" w:rsidR="00770E9A" w:rsidRPr="007C2D02" w:rsidRDefault="00770E9A" w:rsidP="005B246A">
            <w:pPr>
              <w:pStyle w:val="NoSpacing"/>
              <w:rPr>
                <w:rFonts w:ascii="Garamond" w:hAnsi="Garamond" w:cs="Arial"/>
                <w:sz w:val="22"/>
                <w:szCs w:val="22"/>
              </w:rPr>
            </w:pPr>
          </w:p>
          <w:p w14:paraId="144876DC" w14:textId="6F3398A1" w:rsidR="00770E9A" w:rsidRDefault="00770E9A" w:rsidP="00770E9A">
            <w:pPr>
              <w:pStyle w:val="NoSpacing"/>
              <w:rPr>
                <w:rFonts w:ascii="Garamond" w:hAnsi="Garamond" w:cs="Arial"/>
                <w:sz w:val="22"/>
                <w:szCs w:val="22"/>
              </w:rPr>
            </w:pPr>
            <w:r w:rsidRPr="007C2D02">
              <w:rPr>
                <w:rFonts w:ascii="Garamond" w:hAnsi="Garamond" w:cs="Arial"/>
                <w:sz w:val="22"/>
                <w:szCs w:val="22"/>
              </w:rPr>
              <w:t>Require USDOT</w:t>
            </w:r>
            <w:r w:rsidR="006D506E">
              <w:rPr>
                <w:rFonts w:ascii="Garamond" w:hAnsi="Garamond" w:cs="Arial"/>
                <w:sz w:val="22"/>
                <w:szCs w:val="22"/>
              </w:rPr>
              <w:t xml:space="preserve"> (STB now independent agency per </w:t>
            </w:r>
            <w:r w:rsidR="006D506E" w:rsidRPr="00001065">
              <w:rPr>
                <w:rFonts w:ascii="Garamond" w:hAnsi="Garamond" w:cs="Arial"/>
                <w:b/>
                <w:i/>
                <w:sz w:val="22"/>
                <w:szCs w:val="22"/>
              </w:rPr>
              <w:t>STB Reauthorization Act of 2015</w:t>
            </w:r>
            <w:r w:rsidR="00001065">
              <w:rPr>
                <w:rFonts w:ascii="Garamond" w:hAnsi="Garamond" w:cs="Arial"/>
                <w:sz w:val="22"/>
                <w:szCs w:val="22"/>
              </w:rPr>
              <w:t xml:space="preserve">) </w:t>
            </w:r>
            <w:r w:rsidRPr="007C2D02">
              <w:rPr>
                <w:rFonts w:ascii="Garamond" w:hAnsi="Garamond" w:cs="Arial"/>
                <w:sz w:val="22"/>
                <w:szCs w:val="22"/>
              </w:rPr>
              <w:t xml:space="preserve">to make a concerted effort to develop a competitive rate benchmarking system to replace URCS and the revenue-to-variable-cost formula, and make the necessary resources for this task available. </w:t>
            </w:r>
          </w:p>
          <w:p w14:paraId="3B0484D4" w14:textId="77777777" w:rsidR="00975F91" w:rsidRDefault="00975F91" w:rsidP="00770E9A">
            <w:pPr>
              <w:pStyle w:val="NoSpacing"/>
              <w:rPr>
                <w:rFonts w:ascii="Garamond" w:hAnsi="Garamond" w:cs="Arial"/>
                <w:sz w:val="22"/>
                <w:szCs w:val="22"/>
              </w:rPr>
            </w:pPr>
          </w:p>
          <w:p w14:paraId="402780A1" w14:textId="0F11621A" w:rsidR="00975F91" w:rsidRPr="007C2D02" w:rsidRDefault="00975F91" w:rsidP="00B0692E">
            <w:pPr>
              <w:pStyle w:val="NoSpacing"/>
              <w:rPr>
                <w:rFonts w:ascii="Garamond" w:hAnsi="Garamond" w:cs="Arial"/>
                <w:sz w:val="22"/>
                <w:szCs w:val="22"/>
              </w:rPr>
            </w:pPr>
            <w:r w:rsidRPr="00001065">
              <w:rPr>
                <w:rFonts w:ascii="Garamond" w:hAnsi="Garamond" w:cs="Arial"/>
                <w:sz w:val="22"/>
                <w:szCs w:val="22"/>
              </w:rPr>
              <w:t xml:space="preserve">[Relevant pending STB proceedings are </w:t>
            </w:r>
            <w:r w:rsidR="00167A2E" w:rsidRPr="00001065">
              <w:rPr>
                <w:rFonts w:ascii="Garamond" w:hAnsi="Garamond" w:cs="Arial"/>
                <w:sz w:val="22"/>
                <w:szCs w:val="22"/>
              </w:rPr>
              <w:t xml:space="preserve">an Advanced Notice of Proposed Rulemaking in </w:t>
            </w:r>
            <w:r w:rsidRPr="00001065">
              <w:rPr>
                <w:rFonts w:ascii="Garamond" w:hAnsi="Garamond" w:cs="Arial"/>
                <w:sz w:val="22"/>
                <w:szCs w:val="22"/>
              </w:rPr>
              <w:t xml:space="preserve">EP Docket No. </w:t>
            </w:r>
            <w:r w:rsidR="00167A2E" w:rsidRPr="00001065">
              <w:rPr>
                <w:rFonts w:ascii="Garamond" w:hAnsi="Garamond" w:cs="Arial"/>
                <w:sz w:val="22"/>
                <w:szCs w:val="22"/>
              </w:rPr>
              <w:t xml:space="preserve">733, </w:t>
            </w:r>
            <w:r w:rsidR="00167A2E" w:rsidRPr="00001065">
              <w:rPr>
                <w:rFonts w:ascii="Garamond" w:hAnsi="Garamond" w:cs="Arial"/>
                <w:i/>
                <w:sz w:val="22"/>
                <w:szCs w:val="22"/>
                <w:u w:val="single"/>
              </w:rPr>
              <w:t>Expediting Rulemaking;</w:t>
            </w:r>
            <w:r w:rsidR="00167A2E" w:rsidRPr="00001065">
              <w:rPr>
                <w:rFonts w:ascii="Garamond" w:hAnsi="Garamond" w:cs="Arial"/>
                <w:sz w:val="22"/>
                <w:szCs w:val="22"/>
              </w:rPr>
              <w:t xml:space="preserve"> EP Docket No. 736; </w:t>
            </w:r>
            <w:r w:rsidR="00167A2E" w:rsidRPr="00001065">
              <w:rPr>
                <w:rFonts w:ascii="Garamond" w:hAnsi="Garamond" w:cs="Arial"/>
                <w:i/>
                <w:sz w:val="22"/>
                <w:szCs w:val="22"/>
                <w:u w:val="single"/>
              </w:rPr>
              <w:t xml:space="preserve">Intervistas Report </w:t>
            </w:r>
            <w:r w:rsidR="00167A2E" w:rsidRPr="00001065">
              <w:rPr>
                <w:rFonts w:ascii="Garamond" w:hAnsi="Garamond" w:cs="Arial"/>
                <w:sz w:val="22"/>
                <w:szCs w:val="22"/>
              </w:rPr>
              <w:t xml:space="preserve">(as required by the </w:t>
            </w:r>
            <w:r w:rsidR="00167A2E" w:rsidRPr="00001065">
              <w:rPr>
                <w:rFonts w:ascii="Garamond" w:hAnsi="Garamond" w:cs="Arial"/>
                <w:b/>
                <w:i/>
                <w:sz w:val="22"/>
                <w:szCs w:val="22"/>
              </w:rPr>
              <w:t>STB Reauthorization Act of 2015</w:t>
            </w:r>
            <w:r w:rsidR="00167A2E" w:rsidRPr="00001065">
              <w:rPr>
                <w:rFonts w:ascii="Garamond" w:hAnsi="Garamond" w:cs="Arial"/>
                <w:sz w:val="22"/>
                <w:szCs w:val="22"/>
              </w:rPr>
              <w:t xml:space="preserve">; and, </w:t>
            </w:r>
            <w:r w:rsidR="00167A2E" w:rsidRPr="00001065">
              <w:rPr>
                <w:rFonts w:ascii="Garamond" w:hAnsi="Garamond"/>
                <w:color w:val="484C53"/>
                <w:sz w:val="22"/>
                <w:szCs w:val="22"/>
              </w:rPr>
              <w:t xml:space="preserve">Docket No. EP 722, </w:t>
            </w:r>
            <w:r w:rsidR="00167A2E" w:rsidRPr="00001065">
              <w:rPr>
                <w:rFonts w:ascii="Garamond" w:hAnsi="Garamond"/>
                <w:i/>
                <w:color w:val="484C53"/>
                <w:sz w:val="22"/>
                <w:szCs w:val="22"/>
                <w:u w:val="single"/>
              </w:rPr>
              <w:t>Railroad Revenue Adequacy</w:t>
            </w:r>
            <w:r w:rsidR="00167A2E" w:rsidRPr="00001065">
              <w:rPr>
                <w:rFonts w:ascii="Garamond" w:hAnsi="Garamond"/>
                <w:color w:val="484C53"/>
                <w:sz w:val="22"/>
                <w:szCs w:val="22"/>
              </w:rPr>
              <w:t>.]</w:t>
            </w:r>
            <w:r w:rsidR="00167A2E" w:rsidRPr="00167A2E">
              <w:rPr>
                <w:rFonts w:ascii="Garamond" w:hAnsi="Garamond"/>
                <w:color w:val="484C53"/>
                <w:sz w:val="22"/>
                <w:szCs w:val="22"/>
              </w:rPr>
              <w:t xml:space="preserve">  </w:t>
            </w:r>
          </w:p>
        </w:tc>
      </w:tr>
      <w:tr w:rsidR="00770E9A" w:rsidRPr="007C2D02" w14:paraId="43FEF488" w14:textId="77777777" w:rsidTr="00770E9A">
        <w:tc>
          <w:tcPr>
            <w:tcW w:w="6588" w:type="dxa"/>
          </w:tcPr>
          <w:p w14:paraId="7DBD3376" w14:textId="77777777" w:rsidR="00167A2E" w:rsidRDefault="00167A2E" w:rsidP="005B246A">
            <w:pPr>
              <w:pStyle w:val="NoSpacing"/>
              <w:rPr>
                <w:rFonts w:ascii="Garamond" w:hAnsi="Garamond" w:cs="Arial"/>
                <w:sz w:val="22"/>
                <w:szCs w:val="22"/>
              </w:rPr>
            </w:pPr>
          </w:p>
          <w:p w14:paraId="5E6C1F24" w14:textId="77777777" w:rsidR="00770E9A" w:rsidRPr="007C2D02" w:rsidRDefault="00770E9A" w:rsidP="005B246A">
            <w:pPr>
              <w:pStyle w:val="NoSpacing"/>
              <w:rPr>
                <w:rFonts w:ascii="Garamond" w:hAnsi="Garamond" w:cs="Arial"/>
                <w:sz w:val="22"/>
                <w:szCs w:val="22"/>
              </w:rPr>
            </w:pPr>
            <w:r w:rsidRPr="007C2D02">
              <w:rPr>
                <w:rFonts w:ascii="Garamond" w:hAnsi="Garamond" w:cs="Arial"/>
                <w:sz w:val="22"/>
                <w:szCs w:val="22"/>
              </w:rPr>
              <w:lastRenderedPageBreak/>
              <w:t>Publish the STB Public Use Waybill Sample in a Timely Manner</w:t>
            </w:r>
            <w:r w:rsidR="002E5844" w:rsidRPr="007C2D02">
              <w:rPr>
                <w:rFonts w:ascii="Garamond" w:hAnsi="Garamond" w:cs="Arial"/>
                <w:sz w:val="22"/>
                <w:szCs w:val="22"/>
              </w:rPr>
              <w:t>.</w:t>
            </w:r>
            <w:r w:rsidRPr="007C2D02">
              <w:rPr>
                <w:rFonts w:ascii="Garamond" w:hAnsi="Garamond" w:cs="Arial"/>
                <w:sz w:val="22"/>
                <w:szCs w:val="22"/>
              </w:rPr>
              <w:t xml:space="preserve"> </w:t>
            </w:r>
          </w:p>
        </w:tc>
        <w:tc>
          <w:tcPr>
            <w:tcW w:w="7560" w:type="dxa"/>
          </w:tcPr>
          <w:p w14:paraId="74F389DB" w14:textId="77777777" w:rsidR="00167A2E" w:rsidRDefault="00167A2E" w:rsidP="005B246A">
            <w:pPr>
              <w:pStyle w:val="NoSpacing"/>
              <w:rPr>
                <w:rFonts w:ascii="Garamond" w:hAnsi="Garamond" w:cs="Arial"/>
                <w:bCs/>
                <w:sz w:val="22"/>
                <w:szCs w:val="22"/>
              </w:rPr>
            </w:pPr>
          </w:p>
          <w:p w14:paraId="3DFC9856" w14:textId="77777777" w:rsidR="00770E9A" w:rsidRDefault="00B02401" w:rsidP="005B246A">
            <w:pPr>
              <w:pStyle w:val="NoSpacing"/>
              <w:rPr>
                <w:rFonts w:ascii="Garamond" w:hAnsi="Garamond" w:cs="Arial"/>
                <w:sz w:val="22"/>
                <w:szCs w:val="22"/>
              </w:rPr>
            </w:pPr>
            <w:r w:rsidRPr="007C2D02">
              <w:rPr>
                <w:rFonts w:ascii="Garamond" w:hAnsi="Garamond" w:cs="Arial"/>
                <w:bCs/>
                <w:sz w:val="22"/>
                <w:szCs w:val="22"/>
              </w:rPr>
              <w:lastRenderedPageBreak/>
              <w:t xml:space="preserve">U.S. </w:t>
            </w:r>
            <w:r w:rsidR="00770E9A" w:rsidRPr="007C2D02">
              <w:rPr>
                <w:rFonts w:ascii="Garamond" w:hAnsi="Garamond" w:cs="Arial"/>
                <w:bCs/>
                <w:sz w:val="22"/>
                <w:szCs w:val="22"/>
              </w:rPr>
              <w:t>Congress should give STB the direction and resources to undertake a strategic review of all of its data programs to simplify or discontinue the reporting of little used data as a general matter and to support the recommended changes in its regulatory practices and approaches</w:t>
            </w:r>
            <w:r w:rsidR="00770E9A" w:rsidRPr="007C2D02">
              <w:rPr>
                <w:rFonts w:ascii="Garamond" w:hAnsi="Garamond" w:cs="Arial"/>
                <w:sz w:val="22"/>
                <w:szCs w:val="22"/>
              </w:rPr>
              <w:t xml:space="preserve">. </w:t>
            </w:r>
          </w:p>
          <w:p w14:paraId="1E6CE5CC" w14:textId="77777777" w:rsidR="00167A2E" w:rsidRPr="007C2D02" w:rsidRDefault="00167A2E" w:rsidP="005B246A">
            <w:pPr>
              <w:pStyle w:val="NoSpacing"/>
              <w:rPr>
                <w:rFonts w:ascii="Garamond" w:hAnsi="Garamond" w:cs="Arial"/>
                <w:sz w:val="22"/>
                <w:szCs w:val="22"/>
              </w:rPr>
            </w:pPr>
          </w:p>
          <w:p w14:paraId="0DE019AC" w14:textId="221218E4" w:rsidR="002A3C84" w:rsidRDefault="00770E9A" w:rsidP="00770E9A">
            <w:pPr>
              <w:pStyle w:val="NoSpacing"/>
              <w:rPr>
                <w:rFonts w:ascii="Garamond" w:hAnsi="Garamond" w:cs="Arial"/>
                <w:sz w:val="22"/>
                <w:szCs w:val="22"/>
              </w:rPr>
            </w:pPr>
            <w:r w:rsidRPr="007C2D02">
              <w:rPr>
                <w:rFonts w:ascii="Garamond" w:hAnsi="Garamond" w:cs="Arial"/>
                <w:sz w:val="22"/>
                <w:szCs w:val="22"/>
              </w:rPr>
              <w:t>In particular, STB should be directed to review and introduce means to improve the accuracy, utility, timeliness, and availability of the Carload Waybill Sample.</w:t>
            </w:r>
          </w:p>
          <w:p w14:paraId="2B51A045" w14:textId="77777777" w:rsidR="00B0692E" w:rsidRDefault="00B0692E" w:rsidP="00770E9A">
            <w:pPr>
              <w:pStyle w:val="NoSpacing"/>
              <w:rPr>
                <w:rFonts w:ascii="Garamond" w:hAnsi="Garamond" w:cs="Arial"/>
                <w:sz w:val="22"/>
                <w:szCs w:val="22"/>
              </w:rPr>
            </w:pPr>
          </w:p>
          <w:p w14:paraId="2AD83892" w14:textId="28ED2FC7" w:rsidR="00770E9A" w:rsidRPr="007C2D02" w:rsidRDefault="00C12656" w:rsidP="00B0692E">
            <w:pPr>
              <w:pStyle w:val="NoSpacing"/>
              <w:rPr>
                <w:rFonts w:ascii="Garamond" w:hAnsi="Garamond" w:cs="Arial"/>
                <w:sz w:val="22"/>
                <w:szCs w:val="22"/>
              </w:rPr>
            </w:pPr>
            <w:r w:rsidRPr="00001065">
              <w:rPr>
                <w:rFonts w:ascii="Garamond" w:hAnsi="Garamond"/>
                <w:sz w:val="22"/>
                <w:szCs w:val="22"/>
              </w:rPr>
              <w:t>[Although not directly related, STB</w:t>
            </w:r>
            <w:r w:rsidR="002A3C84" w:rsidRPr="00001065">
              <w:rPr>
                <w:rFonts w:ascii="Garamond" w:hAnsi="Garamond"/>
                <w:sz w:val="22"/>
                <w:szCs w:val="22"/>
              </w:rPr>
              <w:t xml:space="preserve"> </w:t>
            </w:r>
            <w:r w:rsidRPr="00001065">
              <w:rPr>
                <w:rFonts w:ascii="Garamond" w:hAnsi="Garamond"/>
                <w:sz w:val="22"/>
                <w:szCs w:val="22"/>
              </w:rPr>
              <w:t xml:space="preserve">issued a Final Rule on November 29, 2016 in EP </w:t>
            </w:r>
            <w:r w:rsidR="002A3C84" w:rsidRPr="00001065">
              <w:rPr>
                <w:rFonts w:ascii="Garamond" w:hAnsi="Garamond"/>
                <w:sz w:val="22"/>
                <w:szCs w:val="22"/>
              </w:rPr>
              <w:t xml:space="preserve">Docket </w:t>
            </w:r>
            <w:r w:rsidRPr="00001065">
              <w:rPr>
                <w:rFonts w:ascii="Garamond" w:hAnsi="Garamond"/>
                <w:sz w:val="22"/>
                <w:szCs w:val="22"/>
              </w:rPr>
              <w:t xml:space="preserve">No. </w:t>
            </w:r>
            <w:r w:rsidR="002A3C84" w:rsidRPr="00001065">
              <w:rPr>
                <w:rFonts w:ascii="Garamond" w:hAnsi="Garamond"/>
                <w:sz w:val="22"/>
                <w:szCs w:val="22"/>
              </w:rPr>
              <w:t xml:space="preserve">724 (Sub-No. 3), </w:t>
            </w:r>
            <w:r w:rsidR="002A3C84" w:rsidRPr="00001065">
              <w:rPr>
                <w:rFonts w:ascii="Garamond" w:hAnsi="Garamond"/>
                <w:i/>
                <w:sz w:val="22"/>
                <w:szCs w:val="22"/>
                <w:u w:val="single"/>
              </w:rPr>
              <w:t>United States Rail Service Issues—Data Collection</w:t>
            </w:r>
            <w:r w:rsidRPr="00001065">
              <w:rPr>
                <w:rFonts w:ascii="Garamond" w:hAnsi="Garamond"/>
                <w:sz w:val="22"/>
                <w:szCs w:val="22"/>
              </w:rPr>
              <w:t xml:space="preserve">, </w:t>
            </w:r>
            <w:r w:rsidR="002A3C84" w:rsidRPr="00001065">
              <w:rPr>
                <w:rFonts w:ascii="Garamond" w:hAnsi="Garamond"/>
                <w:sz w:val="22"/>
                <w:szCs w:val="22"/>
              </w:rPr>
              <w:t>requir</w:t>
            </w:r>
            <w:r w:rsidRPr="00001065">
              <w:rPr>
                <w:rFonts w:ascii="Garamond" w:hAnsi="Garamond"/>
                <w:sz w:val="22"/>
                <w:szCs w:val="22"/>
              </w:rPr>
              <w:t>ing</w:t>
            </w:r>
            <w:r w:rsidR="002A3C84" w:rsidRPr="00001065">
              <w:rPr>
                <w:rFonts w:ascii="Garamond" w:hAnsi="Garamond"/>
                <w:sz w:val="22"/>
                <w:szCs w:val="22"/>
              </w:rPr>
              <w:t xml:space="preserve"> all Class I railroads, and the Chicago Transportation Coordination Office (CTCO), through its Class I members, to report certain service performance metrics to the Board on a weekly, semiannual, and occasional basis. This bec</w:t>
            </w:r>
            <w:r w:rsidR="00B0692E">
              <w:rPr>
                <w:rFonts w:ascii="Garamond" w:hAnsi="Garamond"/>
                <w:sz w:val="22"/>
                <w:szCs w:val="22"/>
              </w:rPr>
              <w:t xml:space="preserve">ame </w:t>
            </w:r>
            <w:r w:rsidR="002A3C84" w:rsidRPr="00001065">
              <w:rPr>
                <w:rFonts w:ascii="Garamond" w:hAnsi="Garamond"/>
                <w:sz w:val="22"/>
                <w:szCs w:val="22"/>
              </w:rPr>
              <w:t>effective March 29, 2017.]</w:t>
            </w:r>
            <w:r w:rsidR="00770E9A" w:rsidRPr="007C2D02">
              <w:rPr>
                <w:rFonts w:ascii="Garamond" w:hAnsi="Garamond" w:cs="Arial"/>
                <w:sz w:val="22"/>
                <w:szCs w:val="22"/>
              </w:rPr>
              <w:t xml:space="preserve"> </w:t>
            </w:r>
          </w:p>
        </w:tc>
      </w:tr>
      <w:tr w:rsidR="00770E9A" w:rsidRPr="007C2D02" w14:paraId="3E0561FF" w14:textId="77777777" w:rsidTr="00770E9A">
        <w:tc>
          <w:tcPr>
            <w:tcW w:w="6588" w:type="dxa"/>
          </w:tcPr>
          <w:p w14:paraId="26F7E7CA" w14:textId="77777777" w:rsidR="00167A2E" w:rsidRDefault="00167A2E" w:rsidP="004E6E6A">
            <w:pPr>
              <w:pStyle w:val="NoSpacing"/>
              <w:rPr>
                <w:rFonts w:ascii="Garamond" w:hAnsi="Garamond" w:cs="Arial"/>
                <w:sz w:val="22"/>
                <w:szCs w:val="22"/>
              </w:rPr>
            </w:pPr>
          </w:p>
          <w:p w14:paraId="0F83F6D2" w14:textId="77777777" w:rsidR="00770E9A" w:rsidRDefault="00770E9A" w:rsidP="004E6E6A">
            <w:pPr>
              <w:pStyle w:val="NoSpacing"/>
              <w:rPr>
                <w:rFonts w:ascii="Garamond" w:hAnsi="Garamond" w:cs="Arial"/>
                <w:sz w:val="22"/>
                <w:szCs w:val="22"/>
              </w:rPr>
            </w:pPr>
            <w:r w:rsidRPr="007C2D02">
              <w:rPr>
                <w:rFonts w:ascii="Garamond" w:hAnsi="Garamond" w:cs="Arial"/>
                <w:sz w:val="22"/>
                <w:szCs w:val="22"/>
              </w:rPr>
              <w:t>Require Class I railroads to provide competitive switching service to shippers, without requiring evidence of anti-competitive conduct by a rail carrier from which access is sought.</w:t>
            </w:r>
          </w:p>
          <w:p w14:paraId="54A07FE0" w14:textId="77777777" w:rsidR="00167A2E" w:rsidRDefault="00167A2E" w:rsidP="004E6E6A">
            <w:pPr>
              <w:pStyle w:val="NoSpacing"/>
              <w:rPr>
                <w:rFonts w:ascii="Garamond" w:hAnsi="Garamond" w:cs="Arial"/>
                <w:sz w:val="22"/>
                <w:szCs w:val="22"/>
              </w:rPr>
            </w:pPr>
          </w:p>
          <w:p w14:paraId="2C5686F3" w14:textId="77777777" w:rsidR="00167A2E" w:rsidRPr="007C2D02" w:rsidRDefault="00167A2E" w:rsidP="004E6E6A">
            <w:pPr>
              <w:pStyle w:val="NoSpacing"/>
              <w:rPr>
                <w:rFonts w:ascii="Garamond" w:hAnsi="Garamond" w:cs="Arial"/>
                <w:sz w:val="22"/>
                <w:szCs w:val="22"/>
              </w:rPr>
            </w:pPr>
          </w:p>
        </w:tc>
        <w:tc>
          <w:tcPr>
            <w:tcW w:w="7560" w:type="dxa"/>
          </w:tcPr>
          <w:p w14:paraId="0E83D233" w14:textId="77777777" w:rsidR="00167A2E" w:rsidRDefault="00167A2E" w:rsidP="005B246A">
            <w:pPr>
              <w:pStyle w:val="NoSpacing"/>
              <w:rPr>
                <w:rFonts w:ascii="Garamond" w:hAnsi="Garamond" w:cs="Arial"/>
                <w:bCs/>
                <w:sz w:val="22"/>
                <w:szCs w:val="22"/>
              </w:rPr>
            </w:pPr>
          </w:p>
          <w:p w14:paraId="7223B1A9" w14:textId="77777777" w:rsidR="00770E9A" w:rsidRPr="007C2D02" w:rsidRDefault="00770E9A" w:rsidP="005B246A">
            <w:pPr>
              <w:pStyle w:val="NoSpacing"/>
              <w:rPr>
                <w:rFonts w:ascii="Garamond" w:hAnsi="Garamond" w:cs="Arial"/>
                <w:sz w:val="22"/>
                <w:szCs w:val="22"/>
              </w:rPr>
            </w:pPr>
            <w:r w:rsidRPr="007C2D02">
              <w:rPr>
                <w:rFonts w:ascii="Garamond" w:hAnsi="Garamond" w:cs="Arial"/>
                <w:bCs/>
                <w:sz w:val="22"/>
                <w:szCs w:val="22"/>
              </w:rPr>
              <w:t xml:space="preserve">Allow reciprocal switching as a remedy for unreasonable rates. </w:t>
            </w:r>
          </w:p>
          <w:p w14:paraId="5E639701" w14:textId="77777777" w:rsidR="00770E9A" w:rsidRDefault="00770E9A" w:rsidP="005B246A">
            <w:pPr>
              <w:pStyle w:val="NoSpacing"/>
              <w:rPr>
                <w:rFonts w:ascii="Garamond" w:hAnsi="Garamond" w:cs="Arial"/>
                <w:sz w:val="22"/>
                <w:szCs w:val="22"/>
              </w:rPr>
            </w:pPr>
          </w:p>
          <w:p w14:paraId="2DA4EFE2" w14:textId="77777777" w:rsidR="00167A2E" w:rsidRDefault="00167A2E" w:rsidP="005B246A">
            <w:pPr>
              <w:pStyle w:val="NoSpacing"/>
              <w:rPr>
                <w:rFonts w:ascii="Garamond" w:hAnsi="Garamond" w:cs="Arial"/>
                <w:sz w:val="22"/>
                <w:szCs w:val="22"/>
              </w:rPr>
            </w:pPr>
          </w:p>
          <w:p w14:paraId="2B9387DF" w14:textId="77777777" w:rsidR="00167A2E" w:rsidRPr="00B0692E" w:rsidRDefault="00167A2E" w:rsidP="005B246A">
            <w:pPr>
              <w:pStyle w:val="NoSpacing"/>
              <w:rPr>
                <w:rFonts w:ascii="Garamond" w:hAnsi="Garamond" w:cs="Arial"/>
                <w:sz w:val="22"/>
                <w:szCs w:val="22"/>
              </w:rPr>
            </w:pPr>
          </w:p>
          <w:p w14:paraId="78B36F2E" w14:textId="06DC023C" w:rsidR="00B0692E" w:rsidRPr="00B0692E" w:rsidRDefault="00B0692E" w:rsidP="00B0692E">
            <w:pPr>
              <w:pStyle w:val="NoSpacing"/>
              <w:rPr>
                <w:rFonts w:ascii="Garamond" w:hAnsi="Garamond" w:cs="Times New Roman"/>
                <w:color w:val="484C53"/>
                <w:sz w:val="22"/>
                <w:szCs w:val="22"/>
              </w:rPr>
            </w:pPr>
            <w:r>
              <w:rPr>
                <w:rFonts w:ascii="Garamond" w:hAnsi="Garamond" w:cs="Arial"/>
                <w:sz w:val="22"/>
                <w:szCs w:val="22"/>
              </w:rPr>
              <w:t xml:space="preserve">[In 2011, the </w:t>
            </w:r>
            <w:r w:rsidR="00167A2E" w:rsidRPr="00B0692E">
              <w:rPr>
                <w:rFonts w:ascii="Garamond" w:hAnsi="Garamond" w:cs="Arial"/>
                <w:sz w:val="22"/>
                <w:szCs w:val="22"/>
              </w:rPr>
              <w:t>[</w:t>
            </w:r>
            <w:r w:rsidRPr="00B0692E">
              <w:rPr>
                <w:rFonts w:ascii="Garamond" w:hAnsi="Garamond" w:cs="Times New Roman"/>
                <w:color w:val="484C53"/>
                <w:sz w:val="22"/>
                <w:szCs w:val="22"/>
              </w:rPr>
              <w:t>N</w:t>
            </w:r>
            <w:r>
              <w:rPr>
                <w:rFonts w:ascii="Garamond" w:hAnsi="Garamond" w:cs="Times New Roman"/>
                <w:color w:val="484C53"/>
                <w:sz w:val="22"/>
                <w:szCs w:val="22"/>
              </w:rPr>
              <w:t xml:space="preserve">ational Industrial Transportation League </w:t>
            </w:r>
            <w:r w:rsidRPr="00B0692E">
              <w:rPr>
                <w:rFonts w:ascii="Garamond" w:hAnsi="Garamond" w:cs="Times New Roman"/>
                <w:color w:val="484C53"/>
                <w:sz w:val="22"/>
                <w:szCs w:val="22"/>
              </w:rPr>
              <w:t>and other shipper groups, including FRCA’s predecessor organization, filed a petition asking the STB to issue new rules</w:t>
            </w:r>
            <w:r>
              <w:rPr>
                <w:rFonts w:ascii="Garamond" w:hAnsi="Garamond" w:cs="Times New Roman"/>
                <w:color w:val="484C53"/>
                <w:sz w:val="22"/>
                <w:szCs w:val="22"/>
              </w:rPr>
              <w:t xml:space="preserve"> asserting </w:t>
            </w:r>
            <w:r w:rsidRPr="00B0692E">
              <w:rPr>
                <w:rFonts w:ascii="Garamond" w:hAnsi="Garamond" w:cs="Times New Roman"/>
                <w:color w:val="484C53"/>
                <w:sz w:val="22"/>
                <w:szCs w:val="22"/>
              </w:rPr>
              <w:t xml:space="preserve">that STB’s longstanding competitive shipping rules and processes has been rendered meaningless.  </w:t>
            </w:r>
            <w:r w:rsidRPr="00B0692E">
              <w:rPr>
                <w:rFonts w:ascii="Garamond" w:hAnsi="Garamond" w:cs="Times New Roman"/>
                <w:color w:val="484C53"/>
                <w:sz w:val="22"/>
                <w:szCs w:val="22"/>
                <w:u w:val="single"/>
              </w:rPr>
              <w:t>No shipper has attempted to obtain a reciprocal switching order for more than 15 years because of the burden of proving anticompetitive conduct under these STB procedures and the changed market conditions for both railroads and shippers during the past 30 years</w:t>
            </w:r>
            <w:r w:rsidRPr="00B0692E">
              <w:rPr>
                <w:rFonts w:ascii="Garamond" w:hAnsi="Garamond" w:cs="Times New Roman"/>
                <w:color w:val="484C53"/>
                <w:sz w:val="22"/>
                <w:szCs w:val="22"/>
              </w:rPr>
              <w:t>.</w:t>
            </w:r>
          </w:p>
          <w:p w14:paraId="22D3D702" w14:textId="77777777" w:rsidR="00B0692E" w:rsidRPr="00B0692E" w:rsidRDefault="00B0692E" w:rsidP="005B246A">
            <w:pPr>
              <w:pStyle w:val="NoSpacing"/>
              <w:rPr>
                <w:rFonts w:ascii="Garamond" w:hAnsi="Garamond" w:cs="Arial"/>
                <w:sz w:val="22"/>
                <w:szCs w:val="22"/>
              </w:rPr>
            </w:pPr>
          </w:p>
          <w:p w14:paraId="4ADF1175" w14:textId="64D6E31E" w:rsidR="00BD309D" w:rsidRDefault="005F220E" w:rsidP="005B246A">
            <w:pPr>
              <w:pStyle w:val="NoSpacing"/>
              <w:rPr>
                <w:rFonts w:ascii="Garamond" w:hAnsi="Garamond" w:cs="Arial"/>
                <w:sz w:val="22"/>
                <w:szCs w:val="22"/>
              </w:rPr>
            </w:pPr>
            <w:r w:rsidRPr="00B0692E">
              <w:rPr>
                <w:rFonts w:ascii="Garamond" w:hAnsi="Garamond" w:cs="Arial"/>
                <w:sz w:val="22"/>
                <w:szCs w:val="22"/>
              </w:rPr>
              <w:t xml:space="preserve">On July 27, 2016 the </w:t>
            </w:r>
            <w:r w:rsidR="00167A2E" w:rsidRPr="00B0692E">
              <w:rPr>
                <w:rFonts w:ascii="Garamond" w:hAnsi="Garamond" w:cs="Arial"/>
                <w:sz w:val="22"/>
                <w:szCs w:val="22"/>
              </w:rPr>
              <w:t>STB issued a</w:t>
            </w:r>
            <w:r w:rsidR="00BD309D" w:rsidRPr="00B0692E">
              <w:rPr>
                <w:rFonts w:ascii="Garamond" w:hAnsi="Garamond" w:cs="Arial"/>
                <w:sz w:val="22"/>
                <w:szCs w:val="22"/>
              </w:rPr>
              <w:t xml:space="preserve"> </w:t>
            </w:r>
            <w:r w:rsidR="00167A2E" w:rsidRPr="00B0692E">
              <w:rPr>
                <w:rFonts w:ascii="Garamond" w:hAnsi="Garamond" w:cs="Arial"/>
                <w:sz w:val="22"/>
                <w:szCs w:val="22"/>
              </w:rPr>
              <w:t xml:space="preserve">Notice of Proposed Rulemaking in EP Docket No. 711 (Sub No.-1), </w:t>
            </w:r>
            <w:r w:rsidR="00167A2E" w:rsidRPr="00B0692E">
              <w:rPr>
                <w:rFonts w:ascii="Garamond" w:hAnsi="Garamond" w:cs="Arial"/>
                <w:i/>
                <w:sz w:val="22"/>
                <w:szCs w:val="22"/>
                <w:u w:val="single"/>
              </w:rPr>
              <w:t>Reciprocal Switching</w:t>
            </w:r>
            <w:r w:rsidR="00167A2E" w:rsidRPr="00BD309D">
              <w:rPr>
                <w:rFonts w:ascii="Garamond" w:hAnsi="Garamond" w:cs="Arial"/>
                <w:sz w:val="22"/>
                <w:szCs w:val="22"/>
              </w:rPr>
              <w:t>.</w:t>
            </w:r>
          </w:p>
          <w:p w14:paraId="2229D492" w14:textId="77777777" w:rsidR="00BD309D" w:rsidRDefault="00BD309D" w:rsidP="005B246A">
            <w:pPr>
              <w:pStyle w:val="NoSpacing"/>
              <w:rPr>
                <w:rFonts w:ascii="Garamond" w:hAnsi="Garamond" w:cs="Arial"/>
                <w:sz w:val="22"/>
                <w:szCs w:val="22"/>
              </w:rPr>
            </w:pPr>
          </w:p>
          <w:p w14:paraId="7B037A9A" w14:textId="00C5DE73" w:rsidR="00BD309D" w:rsidRDefault="00BD309D" w:rsidP="005B246A">
            <w:pPr>
              <w:pStyle w:val="NoSpacing"/>
              <w:rPr>
                <w:rFonts w:ascii="Garamond" w:hAnsi="Garamond" w:cs="Arial"/>
                <w:sz w:val="22"/>
                <w:szCs w:val="22"/>
              </w:rPr>
            </w:pPr>
            <w:r w:rsidRPr="00BD309D">
              <w:rPr>
                <w:rFonts w:ascii="Garamond" w:hAnsi="Garamond"/>
                <w:sz w:val="22"/>
                <w:szCs w:val="22"/>
              </w:rPr>
              <w:t>FRCA filed comments supporting the NPRM on October 26, 2016</w:t>
            </w:r>
            <w:r w:rsidR="00B0692E">
              <w:rPr>
                <w:rFonts w:ascii="Garamond" w:hAnsi="Garamond"/>
                <w:sz w:val="22"/>
                <w:szCs w:val="22"/>
              </w:rPr>
              <w:t xml:space="preserve">.  It </w:t>
            </w:r>
            <w:r w:rsidRPr="00BD309D">
              <w:rPr>
                <w:rFonts w:ascii="Garamond" w:hAnsi="Garamond"/>
                <w:sz w:val="22"/>
                <w:szCs w:val="22"/>
              </w:rPr>
              <w:t xml:space="preserve">can be accessed via </w:t>
            </w:r>
            <w:hyperlink r:id="rId8" w:history="1">
              <w:r w:rsidRPr="00BD309D">
                <w:rPr>
                  <w:rStyle w:val="Hyperlink"/>
                  <w:rFonts w:ascii="Garamond" w:hAnsi="Garamond"/>
                  <w:sz w:val="22"/>
                  <w:szCs w:val="22"/>
                </w:rPr>
                <w:t>http://railvoices.org/wp-content/uploads/FRCA-Comments-to-STB-EP-711-Reciprocal-Switching-SUBMITTED.pdf</w:t>
              </w:r>
            </w:hyperlink>
          </w:p>
          <w:p w14:paraId="4377166F" w14:textId="77777777" w:rsidR="00B0692E" w:rsidRDefault="00B0692E" w:rsidP="00BD309D">
            <w:pPr>
              <w:pStyle w:val="NoSpacing"/>
              <w:rPr>
                <w:rFonts w:ascii="Garamond" w:hAnsi="Garamond"/>
                <w:sz w:val="22"/>
                <w:szCs w:val="22"/>
              </w:rPr>
            </w:pPr>
          </w:p>
          <w:p w14:paraId="121B93DB" w14:textId="52D15357" w:rsidR="00BD309D" w:rsidRPr="00BD309D" w:rsidRDefault="00BD309D" w:rsidP="00BD309D">
            <w:pPr>
              <w:pStyle w:val="NoSpacing"/>
              <w:rPr>
                <w:rFonts w:ascii="Garamond" w:hAnsi="Garamond"/>
                <w:sz w:val="22"/>
                <w:szCs w:val="22"/>
              </w:rPr>
            </w:pPr>
            <w:r w:rsidRPr="00BD309D">
              <w:rPr>
                <w:rFonts w:ascii="Garamond" w:hAnsi="Garamond"/>
                <w:sz w:val="22"/>
                <w:szCs w:val="22"/>
              </w:rPr>
              <w:t xml:space="preserve">Reply comments were due by January 13, 2017, along with requests for ex parte meetings with Board Members.  </w:t>
            </w:r>
          </w:p>
          <w:p w14:paraId="4703F5ED" w14:textId="77777777" w:rsidR="00BD309D" w:rsidRPr="00C91629" w:rsidRDefault="00BD309D" w:rsidP="00BD309D">
            <w:pPr>
              <w:pStyle w:val="Default"/>
              <w:autoSpaceDE/>
              <w:autoSpaceDN/>
              <w:adjustRightInd/>
              <w:rPr>
                <w:rFonts w:ascii="Garamond" w:hAnsi="Garamond"/>
                <w:b/>
                <w:sz w:val="22"/>
                <w:szCs w:val="22"/>
              </w:rPr>
            </w:pPr>
          </w:p>
          <w:p w14:paraId="2FC89B95" w14:textId="10711FD9" w:rsidR="00BD309D" w:rsidRPr="007C2D02" w:rsidRDefault="00BD309D" w:rsidP="00C91629">
            <w:pPr>
              <w:pStyle w:val="NoSpacing"/>
              <w:rPr>
                <w:rFonts w:ascii="Garamond" w:hAnsi="Garamond" w:cs="Arial"/>
                <w:sz w:val="22"/>
                <w:szCs w:val="22"/>
              </w:rPr>
            </w:pPr>
            <w:r w:rsidRPr="00C91629">
              <w:rPr>
                <w:rFonts w:ascii="Garamond" w:hAnsi="Garamond"/>
                <w:sz w:val="22"/>
                <w:szCs w:val="22"/>
              </w:rPr>
              <w:t xml:space="preserve">On December 23, 2016, the STB announced an indefinite delay in the schedule for requesting the ex parte meetings and the meetings themselves.  </w:t>
            </w:r>
            <w:r w:rsidR="00C91629" w:rsidRPr="00C91629">
              <w:rPr>
                <w:rFonts w:ascii="Garamond" w:hAnsi="Garamond"/>
                <w:sz w:val="22"/>
                <w:szCs w:val="22"/>
              </w:rPr>
              <w:t xml:space="preserve">While ex parte meetings have been held, it is not known when the Board will issue new timeline(s)/deadline(s) for requesting ex-parte meetings or when formal deliberations via the proceeding will happen. </w:t>
            </w:r>
          </w:p>
        </w:tc>
      </w:tr>
      <w:tr w:rsidR="00770E9A" w:rsidRPr="007C2D02" w14:paraId="7FBA180B" w14:textId="77777777" w:rsidTr="00770E9A">
        <w:tc>
          <w:tcPr>
            <w:tcW w:w="6588" w:type="dxa"/>
          </w:tcPr>
          <w:p w14:paraId="6F8D3652" w14:textId="77777777" w:rsidR="00167A2E" w:rsidRDefault="00167A2E" w:rsidP="002E5844">
            <w:pPr>
              <w:pStyle w:val="NoSpacing"/>
              <w:rPr>
                <w:rFonts w:ascii="Garamond" w:hAnsi="Garamond" w:cs="Arial"/>
                <w:sz w:val="22"/>
                <w:szCs w:val="22"/>
              </w:rPr>
            </w:pPr>
          </w:p>
          <w:p w14:paraId="1769DAF5" w14:textId="77777777" w:rsidR="00770E9A" w:rsidRDefault="00B02401" w:rsidP="002E5844">
            <w:pPr>
              <w:pStyle w:val="NoSpacing"/>
              <w:rPr>
                <w:rFonts w:ascii="Garamond" w:hAnsi="Garamond" w:cs="Arial"/>
                <w:sz w:val="22"/>
                <w:szCs w:val="22"/>
              </w:rPr>
            </w:pPr>
            <w:r w:rsidRPr="007C2D02">
              <w:rPr>
                <w:rFonts w:ascii="Garamond" w:hAnsi="Garamond" w:cs="Arial"/>
                <w:sz w:val="22"/>
                <w:szCs w:val="22"/>
              </w:rPr>
              <w:t xml:space="preserve">Transfer </w:t>
            </w:r>
            <w:r w:rsidR="00770E9A" w:rsidRPr="007C2D02">
              <w:rPr>
                <w:rFonts w:ascii="Garamond" w:hAnsi="Garamond" w:cs="Arial"/>
                <w:sz w:val="22"/>
                <w:szCs w:val="22"/>
              </w:rPr>
              <w:t>rail merger jurisdiction from the STB to D</w:t>
            </w:r>
            <w:r w:rsidR="002E5844" w:rsidRPr="007C2D02">
              <w:rPr>
                <w:rFonts w:ascii="Garamond" w:hAnsi="Garamond" w:cs="Arial"/>
                <w:sz w:val="22"/>
                <w:szCs w:val="22"/>
              </w:rPr>
              <w:t>epartment of Justice.</w:t>
            </w:r>
          </w:p>
          <w:p w14:paraId="5301A386" w14:textId="77777777" w:rsidR="00167A2E" w:rsidRPr="007C2D02" w:rsidRDefault="00167A2E" w:rsidP="002E5844">
            <w:pPr>
              <w:pStyle w:val="NoSpacing"/>
              <w:rPr>
                <w:rFonts w:ascii="Garamond" w:hAnsi="Garamond" w:cs="Arial"/>
                <w:sz w:val="22"/>
                <w:szCs w:val="22"/>
              </w:rPr>
            </w:pPr>
          </w:p>
        </w:tc>
        <w:tc>
          <w:tcPr>
            <w:tcW w:w="7560" w:type="dxa"/>
          </w:tcPr>
          <w:p w14:paraId="00EB2034" w14:textId="77777777" w:rsidR="00167A2E" w:rsidRDefault="00167A2E" w:rsidP="002E5844">
            <w:pPr>
              <w:pStyle w:val="NoSpacing"/>
              <w:rPr>
                <w:rFonts w:ascii="Garamond" w:hAnsi="Garamond" w:cs="Arial"/>
                <w:bCs/>
                <w:sz w:val="22"/>
                <w:szCs w:val="22"/>
              </w:rPr>
            </w:pPr>
          </w:p>
          <w:p w14:paraId="573F1A2B" w14:textId="77777777" w:rsidR="00770E9A" w:rsidRDefault="00770E9A" w:rsidP="002E5844">
            <w:pPr>
              <w:pStyle w:val="NoSpacing"/>
              <w:rPr>
                <w:rFonts w:ascii="Garamond" w:hAnsi="Garamond" w:cs="Arial"/>
                <w:bCs/>
                <w:sz w:val="22"/>
                <w:szCs w:val="22"/>
              </w:rPr>
            </w:pPr>
            <w:r w:rsidRPr="007C2D02">
              <w:rPr>
                <w:rFonts w:ascii="Garamond" w:hAnsi="Garamond" w:cs="Arial"/>
                <w:bCs/>
                <w:sz w:val="22"/>
                <w:szCs w:val="22"/>
              </w:rPr>
              <w:t xml:space="preserve">Transfer merger review authority to the antitrust agencies and apply customary antitrust principles rather than a public interest standard. </w:t>
            </w:r>
          </w:p>
          <w:p w14:paraId="2ADBD511" w14:textId="77777777" w:rsidR="00167A2E" w:rsidRDefault="00167A2E" w:rsidP="002E5844">
            <w:pPr>
              <w:pStyle w:val="NoSpacing"/>
              <w:rPr>
                <w:rFonts w:ascii="Garamond" w:hAnsi="Garamond" w:cs="Arial"/>
                <w:bCs/>
                <w:sz w:val="22"/>
                <w:szCs w:val="22"/>
              </w:rPr>
            </w:pPr>
          </w:p>
          <w:p w14:paraId="12A2844C" w14:textId="2D21C63E" w:rsidR="004C5A80" w:rsidRPr="007C2D02" w:rsidRDefault="00167A2E" w:rsidP="00B0692E">
            <w:pPr>
              <w:pStyle w:val="NoSpacing"/>
              <w:rPr>
                <w:rFonts w:ascii="Garamond" w:hAnsi="Garamond" w:cs="Arial"/>
                <w:sz w:val="22"/>
                <w:szCs w:val="22"/>
              </w:rPr>
            </w:pPr>
            <w:r w:rsidRPr="00001065">
              <w:rPr>
                <w:rFonts w:ascii="Garamond" w:hAnsi="Garamond" w:cs="Arial"/>
                <w:sz w:val="22"/>
                <w:szCs w:val="22"/>
              </w:rPr>
              <w:t>[During the last 114</w:t>
            </w:r>
            <w:r w:rsidRPr="00001065">
              <w:rPr>
                <w:rFonts w:ascii="Garamond" w:hAnsi="Garamond" w:cs="Arial"/>
                <w:sz w:val="22"/>
                <w:szCs w:val="22"/>
                <w:vertAlign w:val="superscript"/>
              </w:rPr>
              <w:t>th</w:t>
            </w:r>
            <w:r w:rsidRPr="00001065">
              <w:rPr>
                <w:rFonts w:ascii="Garamond" w:hAnsi="Garamond" w:cs="Arial"/>
                <w:sz w:val="22"/>
                <w:szCs w:val="22"/>
              </w:rPr>
              <w:t xml:space="preserve"> Congress, Senator Amy Klobuchar (D-MN) introduced the </w:t>
            </w:r>
            <w:r w:rsidR="004C5A80" w:rsidRPr="00001065">
              <w:rPr>
                <w:rFonts w:ascii="Garamond" w:hAnsi="Garamond" w:cs="Arial"/>
                <w:b/>
                <w:i/>
                <w:sz w:val="22"/>
                <w:szCs w:val="22"/>
              </w:rPr>
              <w:t>Railroad Antitrust Enforcement Act of 2015</w:t>
            </w:r>
            <w:r w:rsidR="004C5A80" w:rsidRPr="00001065">
              <w:rPr>
                <w:rFonts w:ascii="Garamond" w:hAnsi="Garamond" w:cs="Arial"/>
                <w:sz w:val="22"/>
                <w:szCs w:val="22"/>
              </w:rPr>
              <w:t>.]</w:t>
            </w:r>
          </w:p>
        </w:tc>
      </w:tr>
    </w:tbl>
    <w:p w14:paraId="2139664B" w14:textId="77777777" w:rsidR="00770E9A" w:rsidRPr="007C2D02" w:rsidRDefault="00770E9A" w:rsidP="00B02401">
      <w:pPr>
        <w:rPr>
          <w:rFonts w:ascii="Garamond" w:hAnsi="Garamond"/>
        </w:rPr>
      </w:pPr>
      <w:bookmarkStart w:id="0" w:name="_GoBack"/>
      <w:bookmarkEnd w:id="0"/>
    </w:p>
    <w:sectPr w:rsidR="00770E9A" w:rsidRPr="007C2D02" w:rsidSect="002E5844">
      <w:headerReference w:type="default" r:id="rId9"/>
      <w:footerReference w:type="default" r:id="rId10"/>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9AAC" w14:textId="77777777" w:rsidR="00C26234" w:rsidRDefault="00C26234" w:rsidP="00B02401">
      <w:pPr>
        <w:spacing w:after="0" w:line="240" w:lineRule="auto"/>
      </w:pPr>
      <w:r>
        <w:separator/>
      </w:r>
    </w:p>
  </w:endnote>
  <w:endnote w:type="continuationSeparator" w:id="0">
    <w:p w14:paraId="2C423E95" w14:textId="77777777" w:rsidR="00C26234" w:rsidRDefault="00C26234" w:rsidP="00B0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228400"/>
      <w:docPartObj>
        <w:docPartGallery w:val="Page Numbers (Bottom of Page)"/>
        <w:docPartUnique/>
      </w:docPartObj>
    </w:sdtPr>
    <w:sdtEndPr>
      <w:rPr>
        <w:rFonts w:ascii="Arial" w:hAnsi="Arial" w:cs="Arial"/>
        <w:noProof/>
        <w:sz w:val="20"/>
        <w:szCs w:val="20"/>
      </w:rPr>
    </w:sdtEndPr>
    <w:sdtContent>
      <w:p w14:paraId="4F9B8DC8" w14:textId="478012D7" w:rsidR="00C91629" w:rsidRPr="00C91629" w:rsidRDefault="00C91629">
        <w:pPr>
          <w:pStyle w:val="Footer"/>
          <w:rPr>
            <w:rFonts w:ascii="Arial" w:hAnsi="Arial" w:cs="Arial"/>
            <w:sz w:val="20"/>
            <w:szCs w:val="20"/>
          </w:rPr>
        </w:pPr>
        <w:r w:rsidRPr="00C91629">
          <w:rPr>
            <w:rFonts w:ascii="Arial" w:hAnsi="Arial" w:cs="Arial"/>
            <w:sz w:val="20"/>
            <w:szCs w:val="20"/>
          </w:rPr>
          <w:fldChar w:fldCharType="begin"/>
        </w:r>
        <w:r w:rsidRPr="00C91629">
          <w:rPr>
            <w:rFonts w:ascii="Arial" w:hAnsi="Arial" w:cs="Arial"/>
            <w:sz w:val="20"/>
            <w:szCs w:val="20"/>
          </w:rPr>
          <w:instrText xml:space="preserve"> PAGE   \* MERGEFORMAT </w:instrText>
        </w:r>
        <w:r w:rsidRPr="00C91629">
          <w:rPr>
            <w:rFonts w:ascii="Arial" w:hAnsi="Arial" w:cs="Arial"/>
            <w:sz w:val="20"/>
            <w:szCs w:val="20"/>
          </w:rPr>
          <w:fldChar w:fldCharType="separate"/>
        </w:r>
        <w:r w:rsidRPr="00C91629">
          <w:rPr>
            <w:rFonts w:ascii="Arial" w:hAnsi="Arial" w:cs="Arial"/>
            <w:noProof/>
            <w:sz w:val="20"/>
            <w:szCs w:val="20"/>
          </w:rPr>
          <w:t>2</w:t>
        </w:r>
        <w:r w:rsidRPr="00C91629">
          <w:rPr>
            <w:rFonts w:ascii="Arial" w:hAnsi="Arial" w:cs="Arial"/>
            <w:noProof/>
            <w:sz w:val="20"/>
            <w:szCs w:val="20"/>
          </w:rPr>
          <w:fldChar w:fldCharType="end"/>
        </w:r>
        <w:r>
          <w:rPr>
            <w:rFonts w:ascii="Arial" w:hAnsi="Arial" w:cs="Arial"/>
            <w:noProof/>
            <w:sz w:val="20"/>
            <w:szCs w:val="20"/>
          </w:rPr>
          <w:t xml:space="preserve">                                                                                                                                                                                                                      June 2018</w:t>
        </w:r>
      </w:p>
    </w:sdtContent>
  </w:sdt>
  <w:p w14:paraId="10094342" w14:textId="44ACA85D" w:rsidR="00B02401" w:rsidRPr="00D451B3" w:rsidRDefault="00B02401" w:rsidP="00D451B3">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CCA9" w14:textId="77777777" w:rsidR="00C26234" w:rsidRDefault="00C26234" w:rsidP="00B02401">
      <w:pPr>
        <w:spacing w:after="0" w:line="240" w:lineRule="auto"/>
      </w:pPr>
      <w:r>
        <w:separator/>
      </w:r>
    </w:p>
  </w:footnote>
  <w:footnote w:type="continuationSeparator" w:id="0">
    <w:p w14:paraId="793D311F" w14:textId="77777777" w:rsidR="00C26234" w:rsidRDefault="00C26234" w:rsidP="00B0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4575" w14:textId="77777777" w:rsidR="002E5844" w:rsidRDefault="002E5844" w:rsidP="002E5844">
    <w:pPr>
      <w:pStyle w:val="Header"/>
      <w:jc w:val="right"/>
    </w:pPr>
    <w:r>
      <w:rPr>
        <w:noProof/>
      </w:rPr>
      <w:drawing>
        <wp:inline distT="0" distB="0" distL="0" distR="0" wp14:anchorId="5EDEC64C" wp14:editId="236A3989">
          <wp:extent cx="3060059" cy="666750"/>
          <wp:effectExtent l="0" t="0" r="7620" b="0"/>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0F987D-70C6-4F70-A3D2-8C44DDB9D4F9" descr="cid:image004.jpg@01D0E497.8017EA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01291" cy="697523"/>
                  </a:xfrm>
                  <a:prstGeom prst="rect">
                    <a:avLst/>
                  </a:prstGeom>
                  <a:noFill/>
                  <a:ln>
                    <a:noFill/>
                  </a:ln>
                </pic:spPr>
              </pic:pic>
            </a:graphicData>
          </a:graphic>
        </wp:inline>
      </w:drawing>
    </w:r>
  </w:p>
  <w:p w14:paraId="06E676F1" w14:textId="77777777" w:rsidR="002E5844" w:rsidRDefault="002E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3718"/>
    <w:multiLevelType w:val="hybridMultilevel"/>
    <w:tmpl w:val="AEB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95A40"/>
    <w:multiLevelType w:val="hybridMultilevel"/>
    <w:tmpl w:val="3E409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87"/>
    <w:rsid w:val="00001065"/>
    <w:rsid w:val="0003169E"/>
    <w:rsid w:val="00033937"/>
    <w:rsid w:val="0006273E"/>
    <w:rsid w:val="001248E6"/>
    <w:rsid w:val="00142435"/>
    <w:rsid w:val="00167A2E"/>
    <w:rsid w:val="002A3C84"/>
    <w:rsid w:val="002E0F98"/>
    <w:rsid w:val="002E5844"/>
    <w:rsid w:val="003664C8"/>
    <w:rsid w:val="003F35CF"/>
    <w:rsid w:val="0045379F"/>
    <w:rsid w:val="004975C7"/>
    <w:rsid w:val="004C5A80"/>
    <w:rsid w:val="004E6E6A"/>
    <w:rsid w:val="00524193"/>
    <w:rsid w:val="00524D30"/>
    <w:rsid w:val="00596B66"/>
    <w:rsid w:val="005A4382"/>
    <w:rsid w:val="005E7661"/>
    <w:rsid w:val="005F220E"/>
    <w:rsid w:val="005F3717"/>
    <w:rsid w:val="00640F65"/>
    <w:rsid w:val="006D506E"/>
    <w:rsid w:val="00732E0B"/>
    <w:rsid w:val="00767192"/>
    <w:rsid w:val="00767A36"/>
    <w:rsid w:val="00770E9A"/>
    <w:rsid w:val="00774412"/>
    <w:rsid w:val="007C2D02"/>
    <w:rsid w:val="0082681A"/>
    <w:rsid w:val="008E56E5"/>
    <w:rsid w:val="00975F91"/>
    <w:rsid w:val="00AD0E9F"/>
    <w:rsid w:val="00AF5098"/>
    <w:rsid w:val="00B02401"/>
    <w:rsid w:val="00B026C3"/>
    <w:rsid w:val="00B0692E"/>
    <w:rsid w:val="00B51489"/>
    <w:rsid w:val="00B743E8"/>
    <w:rsid w:val="00B9355F"/>
    <w:rsid w:val="00BA4147"/>
    <w:rsid w:val="00BD309D"/>
    <w:rsid w:val="00BD331A"/>
    <w:rsid w:val="00BE59C4"/>
    <w:rsid w:val="00C12656"/>
    <w:rsid w:val="00C26234"/>
    <w:rsid w:val="00C45474"/>
    <w:rsid w:val="00C91629"/>
    <w:rsid w:val="00C953EC"/>
    <w:rsid w:val="00D451B3"/>
    <w:rsid w:val="00D61887"/>
    <w:rsid w:val="00D61A51"/>
    <w:rsid w:val="00D6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549D"/>
  <w15:docId w15:val="{5D5C00D4-E626-40DB-B020-8A9B42C6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87"/>
    <w:pPr>
      <w:spacing w:after="0" w:line="240" w:lineRule="auto"/>
    </w:pPr>
  </w:style>
  <w:style w:type="character" w:styleId="Hyperlink">
    <w:name w:val="Hyperlink"/>
    <w:basedOn w:val="DefaultParagraphFont"/>
    <w:uiPriority w:val="99"/>
    <w:unhideWhenUsed/>
    <w:rsid w:val="00142435"/>
    <w:rPr>
      <w:color w:val="0563C1" w:themeColor="hyperlink"/>
      <w:u w:val="single"/>
    </w:rPr>
  </w:style>
  <w:style w:type="paragraph" w:styleId="ListParagraph">
    <w:name w:val="List Paragraph"/>
    <w:basedOn w:val="Normal"/>
    <w:uiPriority w:val="34"/>
    <w:qFormat/>
    <w:rsid w:val="00B743E8"/>
    <w:pPr>
      <w:spacing w:after="0" w:line="240" w:lineRule="auto"/>
      <w:ind w:left="720"/>
      <w:contextualSpacing/>
    </w:pPr>
    <w:rPr>
      <w:rFonts w:eastAsiaTheme="minorEastAsia"/>
      <w:sz w:val="24"/>
      <w:szCs w:val="24"/>
    </w:rPr>
  </w:style>
  <w:style w:type="table" w:styleId="TableGrid">
    <w:name w:val="Table Grid"/>
    <w:basedOn w:val="TableNormal"/>
    <w:uiPriority w:val="59"/>
    <w:rsid w:val="00770E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401"/>
  </w:style>
  <w:style w:type="paragraph" w:styleId="Footer">
    <w:name w:val="footer"/>
    <w:basedOn w:val="Normal"/>
    <w:link w:val="FooterChar"/>
    <w:uiPriority w:val="99"/>
    <w:unhideWhenUsed/>
    <w:rsid w:val="00B0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401"/>
  </w:style>
  <w:style w:type="paragraph" w:styleId="BalloonText">
    <w:name w:val="Balloon Text"/>
    <w:basedOn w:val="Normal"/>
    <w:link w:val="BalloonTextChar"/>
    <w:uiPriority w:val="99"/>
    <w:semiHidden/>
    <w:unhideWhenUsed/>
    <w:rsid w:val="0036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C8"/>
    <w:rPr>
      <w:rFonts w:ascii="Tahoma" w:hAnsi="Tahoma" w:cs="Tahoma"/>
      <w:sz w:val="16"/>
      <w:szCs w:val="16"/>
    </w:rPr>
  </w:style>
  <w:style w:type="character" w:styleId="CommentReference">
    <w:name w:val="annotation reference"/>
    <w:basedOn w:val="DefaultParagraphFont"/>
    <w:uiPriority w:val="99"/>
    <w:semiHidden/>
    <w:unhideWhenUsed/>
    <w:rsid w:val="005A4382"/>
    <w:rPr>
      <w:sz w:val="16"/>
      <w:szCs w:val="16"/>
    </w:rPr>
  </w:style>
  <w:style w:type="paragraph" w:styleId="CommentText">
    <w:name w:val="annotation text"/>
    <w:basedOn w:val="Normal"/>
    <w:link w:val="CommentTextChar"/>
    <w:uiPriority w:val="99"/>
    <w:semiHidden/>
    <w:unhideWhenUsed/>
    <w:rsid w:val="005A4382"/>
    <w:pPr>
      <w:spacing w:line="240" w:lineRule="auto"/>
    </w:pPr>
    <w:rPr>
      <w:sz w:val="20"/>
      <w:szCs w:val="20"/>
    </w:rPr>
  </w:style>
  <w:style w:type="character" w:customStyle="1" w:styleId="CommentTextChar">
    <w:name w:val="Comment Text Char"/>
    <w:basedOn w:val="DefaultParagraphFont"/>
    <w:link w:val="CommentText"/>
    <w:uiPriority w:val="99"/>
    <w:semiHidden/>
    <w:rsid w:val="005A4382"/>
    <w:rPr>
      <w:sz w:val="20"/>
      <w:szCs w:val="20"/>
    </w:rPr>
  </w:style>
  <w:style w:type="paragraph" w:styleId="CommentSubject">
    <w:name w:val="annotation subject"/>
    <w:basedOn w:val="CommentText"/>
    <w:next w:val="CommentText"/>
    <w:link w:val="CommentSubjectChar"/>
    <w:uiPriority w:val="99"/>
    <w:semiHidden/>
    <w:unhideWhenUsed/>
    <w:rsid w:val="005A4382"/>
    <w:rPr>
      <w:b/>
      <w:bCs/>
    </w:rPr>
  </w:style>
  <w:style w:type="character" w:customStyle="1" w:styleId="CommentSubjectChar">
    <w:name w:val="Comment Subject Char"/>
    <w:basedOn w:val="CommentTextChar"/>
    <w:link w:val="CommentSubject"/>
    <w:uiPriority w:val="99"/>
    <w:semiHidden/>
    <w:rsid w:val="005A4382"/>
    <w:rPr>
      <w:b/>
      <w:bCs/>
      <w:sz w:val="20"/>
      <w:szCs w:val="20"/>
    </w:rPr>
  </w:style>
  <w:style w:type="paragraph" w:customStyle="1" w:styleId="Default">
    <w:name w:val="Default"/>
    <w:rsid w:val="00BD30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lvoices.org/wp-content/uploads/FRCA-Comments-to-STB-EP-711-Reciprocal-Switching-SUBMITTED.pdf" TargetMode="External"/><Relationship Id="rId3" Type="http://schemas.openxmlformats.org/officeDocument/2006/relationships/settings" Target="settings.xml"/><Relationship Id="rId7" Type="http://schemas.openxmlformats.org/officeDocument/2006/relationships/hyperlink" Target="http://www.trb.org/Main/Blurbs/172736.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0E497.8017EA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FRCA-TRB Report (RDR8464).DOCX</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FRCA-TRB Report (RDR8464).DOCX</dc:title>
  <dc:subject/>
  <dc:creator>Microsoft account</dc:creator>
  <cp:keywords/>
  <dc:description/>
  <cp:lastModifiedBy>Ann@annwarnerllc.com</cp:lastModifiedBy>
  <cp:revision>2</cp:revision>
  <cp:lastPrinted>2017-12-27T05:25:00Z</cp:lastPrinted>
  <dcterms:created xsi:type="dcterms:W3CDTF">2018-05-30T19:16:00Z</dcterms:created>
  <dcterms:modified xsi:type="dcterms:W3CDTF">2018-05-30T19:16:00Z</dcterms:modified>
</cp:coreProperties>
</file>