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C6B6" w14:textId="77777777" w:rsidR="00FD53F8" w:rsidRDefault="007F554C" w:rsidP="007C51A6">
      <w:pPr>
        <w:jc w:val="center"/>
        <w:rPr>
          <w:rFonts w:ascii="Garamond" w:hAnsi="Garamond"/>
          <w:b/>
          <w:sz w:val="28"/>
          <w:szCs w:val="28"/>
        </w:rPr>
      </w:pPr>
      <w:r>
        <w:rPr>
          <w:noProof/>
        </w:rPr>
        <w:drawing>
          <wp:inline distT="0" distB="0" distL="0" distR="0" wp14:anchorId="1F0A365B" wp14:editId="65D40385">
            <wp:extent cx="3233420" cy="715645"/>
            <wp:effectExtent l="0" t="0" r="5080" b="8255"/>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E497.8017EA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15645"/>
                    </a:xfrm>
                    <a:prstGeom prst="rect">
                      <a:avLst/>
                    </a:prstGeom>
                    <a:noFill/>
                    <a:ln>
                      <a:noFill/>
                    </a:ln>
                  </pic:spPr>
                </pic:pic>
              </a:graphicData>
            </a:graphic>
          </wp:inline>
        </w:drawing>
      </w:r>
    </w:p>
    <w:p w14:paraId="074147F4" w14:textId="77777777" w:rsidR="005A1F25" w:rsidRDefault="005A1F25" w:rsidP="001822E8">
      <w:pPr>
        <w:jc w:val="center"/>
        <w:rPr>
          <w:rFonts w:ascii="Garamond" w:hAnsi="Garamond"/>
          <w:b/>
          <w:sz w:val="28"/>
          <w:szCs w:val="28"/>
        </w:rPr>
      </w:pPr>
    </w:p>
    <w:p w14:paraId="07E1E844" w14:textId="77777777" w:rsidR="008E1661" w:rsidRDefault="008E1661" w:rsidP="001822E8">
      <w:pPr>
        <w:jc w:val="center"/>
        <w:rPr>
          <w:rFonts w:ascii="Garamond" w:hAnsi="Garamond"/>
          <w:b/>
          <w:sz w:val="28"/>
          <w:szCs w:val="28"/>
        </w:rPr>
      </w:pPr>
    </w:p>
    <w:p w14:paraId="6E720021" w14:textId="7476AD43" w:rsidR="00652839" w:rsidRDefault="00AF5A9D" w:rsidP="001822E8">
      <w:pPr>
        <w:jc w:val="center"/>
        <w:rPr>
          <w:rFonts w:ascii="Garamond" w:hAnsi="Garamond"/>
          <w:b/>
          <w:sz w:val="28"/>
          <w:szCs w:val="28"/>
        </w:rPr>
      </w:pPr>
      <w:r>
        <w:rPr>
          <w:rFonts w:ascii="Garamond" w:hAnsi="Garamond"/>
          <w:b/>
          <w:sz w:val="28"/>
          <w:szCs w:val="28"/>
        </w:rPr>
        <w:t>Revenue Adequacy</w:t>
      </w:r>
    </w:p>
    <w:p w14:paraId="37C750E2" w14:textId="77777777" w:rsidR="008E1661" w:rsidRDefault="008E1661" w:rsidP="00754277">
      <w:pPr>
        <w:rPr>
          <w:rFonts w:ascii="Garamond" w:hAnsi="Garamond"/>
          <w:b/>
          <w:bCs/>
          <w:color w:val="5B9BD5" w:themeColor="accent1"/>
          <w:sz w:val="24"/>
          <w:szCs w:val="24"/>
        </w:rPr>
      </w:pPr>
    </w:p>
    <w:p w14:paraId="64580E5F" w14:textId="3B6BF5F3" w:rsidR="00754277" w:rsidRPr="00377A20" w:rsidRDefault="00754277" w:rsidP="00754277">
      <w:pPr>
        <w:rPr>
          <w:rFonts w:ascii="Garamond" w:hAnsi="Garamond"/>
          <w:b/>
          <w:bCs/>
          <w:color w:val="5B9BD5" w:themeColor="accent1"/>
          <w:sz w:val="24"/>
          <w:szCs w:val="24"/>
        </w:rPr>
      </w:pPr>
      <w:r w:rsidRPr="00377A20">
        <w:rPr>
          <w:rFonts w:ascii="Garamond" w:hAnsi="Garamond"/>
          <w:b/>
          <w:bCs/>
          <w:color w:val="5B9BD5" w:themeColor="accent1"/>
          <w:sz w:val="24"/>
          <w:szCs w:val="24"/>
        </w:rPr>
        <w:t>FRCA Position</w:t>
      </w:r>
      <w:r w:rsidR="004C2036" w:rsidRPr="00377A20">
        <w:rPr>
          <w:rFonts w:ascii="Garamond" w:hAnsi="Garamond"/>
          <w:b/>
          <w:bCs/>
          <w:color w:val="5B9BD5" w:themeColor="accent1"/>
          <w:sz w:val="24"/>
          <w:szCs w:val="24"/>
        </w:rPr>
        <w:t xml:space="preserve"> </w:t>
      </w:r>
    </w:p>
    <w:p w14:paraId="212C4A53" w14:textId="77777777" w:rsidR="00A41B2A" w:rsidRDefault="00A41B2A" w:rsidP="00BB4F65">
      <w:pPr>
        <w:pStyle w:val="NoSpacing"/>
        <w:rPr>
          <w:rFonts w:ascii="Garamond" w:hAnsi="Garamond"/>
          <w:color w:val="484C53"/>
          <w:sz w:val="22"/>
          <w:szCs w:val="22"/>
        </w:rPr>
      </w:pPr>
      <w:r w:rsidRPr="00EE6C79">
        <w:rPr>
          <w:rFonts w:ascii="Garamond" w:hAnsi="Garamond"/>
          <w:color w:val="484C53"/>
          <w:sz w:val="22"/>
          <w:szCs w:val="22"/>
        </w:rPr>
        <w:t xml:space="preserve">FRCA supports the efforts of the Surface Transportation Board (STB or Board) in </w:t>
      </w:r>
      <w:r w:rsidR="005B02AD" w:rsidRPr="00EE6C79">
        <w:rPr>
          <w:rFonts w:ascii="Garamond" w:hAnsi="Garamond"/>
          <w:color w:val="484C53"/>
          <w:sz w:val="22"/>
          <w:szCs w:val="22"/>
        </w:rPr>
        <w:t xml:space="preserve">Docket No. EP 722, </w:t>
      </w:r>
      <w:r w:rsidR="005B02AD" w:rsidRPr="00EE6C79">
        <w:rPr>
          <w:rFonts w:ascii="Garamond" w:hAnsi="Garamond"/>
          <w:i/>
          <w:color w:val="484C53"/>
          <w:sz w:val="22"/>
          <w:szCs w:val="22"/>
          <w:u w:val="single"/>
        </w:rPr>
        <w:t>Railroad Revenue Adequacy</w:t>
      </w:r>
      <w:r w:rsidR="005B02AD" w:rsidRPr="00EE6C79">
        <w:rPr>
          <w:rFonts w:ascii="Garamond" w:hAnsi="Garamond"/>
          <w:color w:val="484C53"/>
          <w:sz w:val="22"/>
          <w:szCs w:val="22"/>
        </w:rPr>
        <w:t>.</w:t>
      </w:r>
      <w:r w:rsidR="005B02AD">
        <w:rPr>
          <w:rFonts w:ascii="Garamond" w:hAnsi="Garamond"/>
          <w:color w:val="484C53"/>
          <w:sz w:val="22"/>
          <w:szCs w:val="22"/>
        </w:rPr>
        <w:t xml:space="preserve">  </w:t>
      </w:r>
    </w:p>
    <w:p w14:paraId="3B2C16A3" w14:textId="77777777" w:rsidR="00A41B2A" w:rsidRDefault="00A41B2A" w:rsidP="00BB4F65">
      <w:pPr>
        <w:pStyle w:val="NoSpacing"/>
        <w:rPr>
          <w:rFonts w:ascii="Garamond" w:hAnsi="Garamond"/>
          <w:color w:val="484C53"/>
          <w:sz w:val="22"/>
          <w:szCs w:val="22"/>
        </w:rPr>
      </w:pPr>
    </w:p>
    <w:p w14:paraId="256D45CE" w14:textId="77777777" w:rsidR="00BB4F65" w:rsidRPr="00AF5A9D" w:rsidRDefault="005B02AD" w:rsidP="00BB4F65">
      <w:pPr>
        <w:pStyle w:val="NoSpacing"/>
        <w:rPr>
          <w:rFonts w:ascii="Garamond" w:hAnsi="Garamond"/>
          <w:color w:val="484C53"/>
          <w:sz w:val="22"/>
          <w:szCs w:val="22"/>
        </w:rPr>
      </w:pPr>
      <w:r w:rsidRPr="005B02AD">
        <w:rPr>
          <w:rFonts w:ascii="Garamond" w:hAnsi="Garamond"/>
          <w:color w:val="484C53"/>
          <w:sz w:val="22"/>
          <w:szCs w:val="22"/>
        </w:rPr>
        <w:t xml:space="preserve">A goal of the </w:t>
      </w:r>
      <w:r w:rsidRPr="005B02AD">
        <w:rPr>
          <w:rFonts w:ascii="Garamond" w:hAnsi="Garamond"/>
          <w:b/>
          <w:i/>
          <w:iCs/>
          <w:color w:val="484C53"/>
          <w:sz w:val="22"/>
          <w:szCs w:val="22"/>
        </w:rPr>
        <w:t>Staggers Rail Act of 1980</w:t>
      </w:r>
      <w:r w:rsidRPr="005B02AD">
        <w:rPr>
          <w:rFonts w:ascii="Garamond" w:hAnsi="Garamond"/>
          <w:iCs/>
          <w:color w:val="484C53"/>
          <w:sz w:val="22"/>
          <w:szCs w:val="22"/>
        </w:rPr>
        <w:t xml:space="preserve"> was</w:t>
      </w:r>
      <w:r w:rsidRPr="005B02AD">
        <w:rPr>
          <w:rFonts w:ascii="Garamond" w:hAnsi="Garamond"/>
          <w:color w:val="484C53"/>
          <w:sz w:val="22"/>
          <w:szCs w:val="22"/>
        </w:rPr>
        <w:t xml:space="preserve"> to restore financial stability to the U.S. rail system.  By all accounts, this goal has been achieved, as demonstrated by the industry’s continued high levels of capital investment and shareholder returns including dividends, buybacks, and stock appreciation.</w:t>
      </w:r>
      <w:r>
        <w:rPr>
          <w:rFonts w:ascii="Garamond" w:hAnsi="Garamond"/>
          <w:color w:val="484C53"/>
          <w:sz w:val="22"/>
          <w:szCs w:val="22"/>
        </w:rPr>
        <w:t xml:space="preserve">  </w:t>
      </w:r>
      <w:r w:rsidRPr="00EE6C79">
        <w:rPr>
          <w:rFonts w:ascii="Garamond" w:hAnsi="Garamond"/>
          <w:color w:val="484C53"/>
          <w:sz w:val="22"/>
          <w:szCs w:val="22"/>
        </w:rPr>
        <w:t>However,</w:t>
      </w:r>
      <w:r>
        <w:rPr>
          <w:rFonts w:ascii="Garamond" w:hAnsi="Garamond"/>
          <w:color w:val="484C53"/>
          <w:sz w:val="22"/>
          <w:szCs w:val="22"/>
        </w:rPr>
        <w:t xml:space="preserve"> FRCA has </w:t>
      </w:r>
      <w:r w:rsidR="00BB4F65" w:rsidRPr="00BB4F65">
        <w:rPr>
          <w:rFonts w:ascii="Garamond" w:hAnsi="Garamond"/>
          <w:color w:val="484C53"/>
          <w:sz w:val="22"/>
          <w:szCs w:val="22"/>
        </w:rPr>
        <w:t xml:space="preserve">long been concerned that the </w:t>
      </w:r>
      <w:r w:rsidR="00A9622F">
        <w:rPr>
          <w:rFonts w:ascii="Garamond" w:hAnsi="Garamond"/>
          <w:color w:val="484C53"/>
          <w:sz w:val="22"/>
          <w:szCs w:val="22"/>
        </w:rPr>
        <w:t>Board</w:t>
      </w:r>
      <w:r>
        <w:rPr>
          <w:rFonts w:ascii="Garamond" w:hAnsi="Garamond"/>
          <w:color w:val="484C53"/>
          <w:sz w:val="22"/>
          <w:szCs w:val="22"/>
        </w:rPr>
        <w:t xml:space="preserve">’s </w:t>
      </w:r>
      <w:r w:rsidR="00BB4F65" w:rsidRPr="00BB4F65">
        <w:rPr>
          <w:rFonts w:ascii="Garamond" w:hAnsi="Garamond"/>
          <w:color w:val="484C53"/>
          <w:sz w:val="22"/>
          <w:szCs w:val="22"/>
        </w:rPr>
        <w:t>annual determinations of “revenue adequacy” for Class I carriers does not reflect the true health of the overall rail industry and its individual carriers.</w:t>
      </w:r>
      <w:r w:rsidR="00BB4F65">
        <w:rPr>
          <w:rFonts w:ascii="Garamond" w:hAnsi="Garamond"/>
          <w:color w:val="484C53"/>
          <w:sz w:val="22"/>
          <w:szCs w:val="22"/>
        </w:rPr>
        <w:t xml:space="preserve">  </w:t>
      </w:r>
    </w:p>
    <w:p w14:paraId="6C1BBA76" w14:textId="77777777" w:rsidR="00BB4F65" w:rsidRPr="00AF5A9D" w:rsidRDefault="00BB4F65" w:rsidP="00BB4F65">
      <w:pPr>
        <w:pStyle w:val="NoSpacing"/>
        <w:rPr>
          <w:rFonts w:ascii="Garamond" w:hAnsi="Garamond"/>
          <w:color w:val="484C53"/>
          <w:sz w:val="22"/>
          <w:szCs w:val="22"/>
        </w:rPr>
      </w:pPr>
    </w:p>
    <w:p w14:paraId="7ECD3DC5" w14:textId="77777777" w:rsidR="00C7252B" w:rsidRDefault="00C7252B" w:rsidP="00BB4F65">
      <w:pPr>
        <w:pStyle w:val="NoSpacing"/>
        <w:rPr>
          <w:rFonts w:ascii="Garamond" w:hAnsi="Garamond"/>
          <w:color w:val="484C53"/>
          <w:sz w:val="22"/>
          <w:szCs w:val="22"/>
        </w:rPr>
      </w:pPr>
      <w:r>
        <w:rPr>
          <w:rFonts w:ascii="Garamond" w:hAnsi="Garamond"/>
          <w:color w:val="484C53"/>
          <w:sz w:val="22"/>
          <w:szCs w:val="22"/>
        </w:rPr>
        <w:t xml:space="preserve">As a part of this and other STB rulemakings, </w:t>
      </w:r>
      <w:r w:rsidR="005B02AD" w:rsidRPr="00AF5A9D">
        <w:rPr>
          <w:rFonts w:ascii="Garamond" w:hAnsi="Garamond"/>
          <w:color w:val="484C53"/>
          <w:sz w:val="22"/>
          <w:szCs w:val="22"/>
        </w:rPr>
        <w:t>FRCA continues to</w:t>
      </w:r>
      <w:r>
        <w:rPr>
          <w:rFonts w:ascii="Garamond" w:hAnsi="Garamond"/>
          <w:color w:val="484C53"/>
          <w:sz w:val="22"/>
          <w:szCs w:val="22"/>
        </w:rPr>
        <w:t>:</w:t>
      </w:r>
    </w:p>
    <w:p w14:paraId="22C7A6FA" w14:textId="77777777" w:rsidR="00C7252B" w:rsidRDefault="00C7252B" w:rsidP="00BB4F65">
      <w:pPr>
        <w:pStyle w:val="NoSpacing"/>
        <w:rPr>
          <w:rFonts w:ascii="Garamond" w:hAnsi="Garamond"/>
          <w:color w:val="484C53"/>
          <w:sz w:val="22"/>
          <w:szCs w:val="22"/>
        </w:rPr>
      </w:pPr>
    </w:p>
    <w:p w14:paraId="605D9AC3" w14:textId="676ED619" w:rsidR="00BB4F65" w:rsidRDefault="00C7252B" w:rsidP="00C7252B">
      <w:pPr>
        <w:pStyle w:val="NoSpacing"/>
        <w:numPr>
          <w:ilvl w:val="0"/>
          <w:numId w:val="6"/>
        </w:numPr>
        <w:rPr>
          <w:rFonts w:ascii="Garamond" w:hAnsi="Garamond"/>
          <w:color w:val="484C53"/>
          <w:sz w:val="22"/>
          <w:szCs w:val="22"/>
        </w:rPr>
      </w:pPr>
      <w:r>
        <w:rPr>
          <w:rFonts w:ascii="Garamond" w:hAnsi="Garamond"/>
          <w:color w:val="484C53"/>
          <w:sz w:val="22"/>
          <w:szCs w:val="22"/>
        </w:rPr>
        <w:t>S</w:t>
      </w:r>
      <w:r w:rsidR="005B02AD" w:rsidRPr="00AF5A9D">
        <w:rPr>
          <w:rFonts w:ascii="Garamond" w:hAnsi="Garamond"/>
          <w:color w:val="484C53"/>
          <w:sz w:val="22"/>
          <w:szCs w:val="22"/>
        </w:rPr>
        <w:t>upport</w:t>
      </w:r>
      <w:r>
        <w:rPr>
          <w:rFonts w:ascii="Garamond" w:hAnsi="Garamond"/>
          <w:color w:val="484C53"/>
          <w:sz w:val="22"/>
          <w:szCs w:val="22"/>
        </w:rPr>
        <w:t xml:space="preserve"> </w:t>
      </w:r>
      <w:r w:rsidR="005B02AD">
        <w:rPr>
          <w:rFonts w:ascii="Garamond" w:hAnsi="Garamond"/>
          <w:color w:val="484C53"/>
          <w:sz w:val="22"/>
          <w:szCs w:val="22"/>
        </w:rPr>
        <w:t xml:space="preserve">eliminating </w:t>
      </w:r>
      <w:r w:rsidR="005B02AD" w:rsidRPr="00AF5A9D">
        <w:rPr>
          <w:rFonts w:ascii="Garamond" w:hAnsi="Garamond"/>
          <w:color w:val="484C53"/>
          <w:sz w:val="22"/>
          <w:szCs w:val="22"/>
        </w:rPr>
        <w:t>the statutory requireme</w:t>
      </w:r>
      <w:r w:rsidR="005B02AD">
        <w:rPr>
          <w:rFonts w:ascii="Garamond" w:hAnsi="Garamond"/>
          <w:color w:val="484C53"/>
          <w:sz w:val="22"/>
          <w:szCs w:val="22"/>
        </w:rPr>
        <w:t xml:space="preserve">nt for the annual determination because it believes </w:t>
      </w:r>
      <w:r w:rsidR="00BB4F65" w:rsidRPr="00AF5A9D">
        <w:rPr>
          <w:rFonts w:ascii="Garamond" w:hAnsi="Garamond"/>
          <w:color w:val="484C53"/>
          <w:sz w:val="22"/>
          <w:szCs w:val="22"/>
        </w:rPr>
        <w:t xml:space="preserve">that </w:t>
      </w:r>
      <w:r w:rsidR="00BB4F65">
        <w:rPr>
          <w:rFonts w:ascii="Garamond" w:hAnsi="Garamond"/>
          <w:color w:val="484C53"/>
          <w:sz w:val="22"/>
          <w:szCs w:val="22"/>
        </w:rPr>
        <w:t xml:space="preserve">1) </w:t>
      </w:r>
      <w:r w:rsidR="00BB4F65" w:rsidRPr="00AF5A9D">
        <w:rPr>
          <w:rFonts w:ascii="Garamond" w:hAnsi="Garamond"/>
          <w:color w:val="484C53"/>
          <w:sz w:val="22"/>
          <w:szCs w:val="22"/>
        </w:rPr>
        <w:t>the carriers’ falsely</w:t>
      </w:r>
      <w:r w:rsidR="008A0185">
        <w:rPr>
          <w:rFonts w:ascii="Garamond" w:hAnsi="Garamond"/>
          <w:color w:val="833C0B" w:themeColor="accent2" w:themeShade="80"/>
          <w:sz w:val="22"/>
          <w:szCs w:val="22"/>
        </w:rPr>
        <w:t>-</w:t>
      </w:r>
      <w:r w:rsidR="00BB4F65" w:rsidRPr="00AF5A9D">
        <w:rPr>
          <w:rFonts w:ascii="Garamond" w:hAnsi="Garamond"/>
          <w:color w:val="484C53"/>
          <w:sz w:val="22"/>
          <w:szCs w:val="22"/>
        </w:rPr>
        <w:t xml:space="preserve"> perceived lack of adequate revenues has served to shield the railroads’ exercise of their monopoly pricing power from STB scrutiny</w:t>
      </w:r>
      <w:r w:rsidR="00A9622F">
        <w:rPr>
          <w:rFonts w:ascii="Garamond" w:hAnsi="Garamond"/>
          <w:color w:val="484C53"/>
          <w:sz w:val="22"/>
          <w:szCs w:val="22"/>
        </w:rPr>
        <w:t>;</w:t>
      </w:r>
      <w:r w:rsidR="00BB4F65" w:rsidRPr="00AF5A9D">
        <w:rPr>
          <w:rFonts w:ascii="Garamond" w:hAnsi="Garamond"/>
          <w:color w:val="484C53"/>
          <w:sz w:val="22"/>
          <w:szCs w:val="22"/>
        </w:rPr>
        <w:t xml:space="preserve"> and </w:t>
      </w:r>
      <w:r w:rsidR="00BB4F65">
        <w:rPr>
          <w:rFonts w:ascii="Garamond" w:hAnsi="Garamond"/>
          <w:color w:val="484C53"/>
          <w:sz w:val="22"/>
          <w:szCs w:val="22"/>
        </w:rPr>
        <w:t xml:space="preserve">2) </w:t>
      </w:r>
      <w:r w:rsidR="00BB4F65" w:rsidRPr="00AF5A9D">
        <w:rPr>
          <w:rFonts w:ascii="Garamond" w:hAnsi="Garamond"/>
          <w:color w:val="484C53"/>
          <w:sz w:val="22"/>
          <w:szCs w:val="22"/>
        </w:rPr>
        <w:t>has prevented shippers from obtaining approp</w:t>
      </w:r>
      <w:r w:rsidR="005B02AD">
        <w:rPr>
          <w:rFonts w:ascii="Garamond" w:hAnsi="Garamond"/>
          <w:color w:val="484C53"/>
          <w:sz w:val="22"/>
          <w:szCs w:val="22"/>
        </w:rPr>
        <w:t>riate relief. </w:t>
      </w:r>
    </w:p>
    <w:p w14:paraId="020711CC" w14:textId="77777777" w:rsidR="005B02AD" w:rsidRPr="00AF5A9D" w:rsidRDefault="005B02AD" w:rsidP="00BB4F65">
      <w:pPr>
        <w:pStyle w:val="NoSpacing"/>
        <w:rPr>
          <w:rFonts w:ascii="Garamond" w:hAnsi="Garamond"/>
          <w:color w:val="484C53"/>
          <w:sz w:val="22"/>
          <w:szCs w:val="22"/>
        </w:rPr>
      </w:pPr>
    </w:p>
    <w:p w14:paraId="64426240" w14:textId="77777777" w:rsidR="00C7252B" w:rsidRDefault="00C7252B" w:rsidP="00C7252B">
      <w:pPr>
        <w:pStyle w:val="NoSpacing"/>
        <w:numPr>
          <w:ilvl w:val="0"/>
          <w:numId w:val="6"/>
        </w:numPr>
        <w:rPr>
          <w:rFonts w:ascii="Garamond" w:hAnsi="Garamond"/>
          <w:color w:val="484C53"/>
          <w:sz w:val="22"/>
          <w:szCs w:val="22"/>
        </w:rPr>
      </w:pPr>
      <w:r w:rsidRPr="00C7252B">
        <w:rPr>
          <w:rFonts w:ascii="Garamond" w:hAnsi="Garamond"/>
          <w:color w:val="484C53"/>
          <w:sz w:val="22"/>
          <w:szCs w:val="22"/>
        </w:rPr>
        <w:t>S</w:t>
      </w:r>
      <w:r w:rsidR="00BB4F65" w:rsidRPr="00C7252B">
        <w:rPr>
          <w:rFonts w:ascii="Garamond" w:hAnsi="Garamond"/>
          <w:color w:val="484C53"/>
          <w:sz w:val="22"/>
          <w:szCs w:val="22"/>
        </w:rPr>
        <w:t xml:space="preserve">trongly oppose railroad efforts </w:t>
      </w:r>
      <w:r w:rsidR="007263B4" w:rsidRPr="00EE6C79">
        <w:rPr>
          <w:rFonts w:ascii="Garamond" w:hAnsi="Garamond"/>
          <w:color w:val="484C53"/>
          <w:sz w:val="22"/>
          <w:szCs w:val="22"/>
        </w:rPr>
        <w:t xml:space="preserve">(via legislation or </w:t>
      </w:r>
      <w:r w:rsidR="00EE6C79" w:rsidRPr="00EE6C79">
        <w:rPr>
          <w:rFonts w:ascii="Garamond" w:hAnsi="Garamond"/>
          <w:color w:val="484C53"/>
          <w:sz w:val="22"/>
          <w:szCs w:val="22"/>
        </w:rPr>
        <w:t>proceedings</w:t>
      </w:r>
      <w:r w:rsidR="007263B4" w:rsidRPr="00EE6C79">
        <w:rPr>
          <w:rFonts w:ascii="Garamond" w:hAnsi="Garamond"/>
          <w:color w:val="484C53"/>
          <w:sz w:val="22"/>
          <w:szCs w:val="22"/>
        </w:rPr>
        <w:t>)</w:t>
      </w:r>
      <w:r w:rsidR="007263B4">
        <w:rPr>
          <w:rFonts w:ascii="Garamond" w:hAnsi="Garamond"/>
          <w:color w:val="484C53"/>
          <w:sz w:val="22"/>
          <w:szCs w:val="22"/>
        </w:rPr>
        <w:t xml:space="preserve"> </w:t>
      </w:r>
      <w:r w:rsidR="00BB4F65" w:rsidRPr="00C7252B">
        <w:rPr>
          <w:rFonts w:ascii="Garamond" w:hAnsi="Garamond"/>
          <w:color w:val="484C53"/>
          <w:sz w:val="22"/>
          <w:szCs w:val="22"/>
        </w:rPr>
        <w:t>to evaluate revenue adequacy on the basis of replacement costs</w:t>
      </w:r>
      <w:r w:rsidR="00BB4F65" w:rsidRPr="00AF5A9D">
        <w:rPr>
          <w:rFonts w:ascii="Garamond" w:hAnsi="Garamond"/>
          <w:color w:val="484C53"/>
          <w:sz w:val="22"/>
          <w:szCs w:val="22"/>
        </w:rPr>
        <w:t>.</w:t>
      </w:r>
    </w:p>
    <w:p w14:paraId="61C0125C" w14:textId="77777777" w:rsidR="00C7252B" w:rsidRDefault="00C7252B" w:rsidP="00BB4F65">
      <w:pPr>
        <w:pStyle w:val="NoSpacing"/>
        <w:rPr>
          <w:rFonts w:ascii="Garamond" w:hAnsi="Garamond"/>
          <w:color w:val="484C53"/>
          <w:sz w:val="22"/>
          <w:szCs w:val="22"/>
        </w:rPr>
      </w:pPr>
    </w:p>
    <w:p w14:paraId="6316D49F" w14:textId="77777777" w:rsidR="007E1071" w:rsidRPr="00BB4F65" w:rsidRDefault="007E1071" w:rsidP="007E1071">
      <w:pPr>
        <w:pStyle w:val="NoSpacing"/>
        <w:rPr>
          <w:rFonts w:ascii="Garamond" w:eastAsia="Times New Roman" w:hAnsi="Garamond"/>
          <w:color w:val="484C53"/>
          <w:sz w:val="22"/>
          <w:szCs w:val="22"/>
        </w:rPr>
      </w:pPr>
      <w:r w:rsidRPr="00AF5A9D">
        <w:rPr>
          <w:rFonts w:ascii="Garamond" w:hAnsi="Garamond"/>
          <w:b/>
          <w:color w:val="484C53"/>
        </w:rPr>
        <w:t>Issue</w:t>
      </w:r>
      <w:r w:rsidR="00BB4F65">
        <w:rPr>
          <w:rFonts w:ascii="Garamond" w:hAnsi="Garamond"/>
          <w:b/>
          <w:color w:val="484C53"/>
        </w:rPr>
        <w:t xml:space="preserve"> Background</w:t>
      </w:r>
      <w:r w:rsidRPr="00AF5A9D">
        <w:rPr>
          <w:rFonts w:ascii="Garamond" w:hAnsi="Garamond"/>
          <w:b/>
          <w:color w:val="484C53"/>
        </w:rPr>
        <w:br/>
      </w:r>
      <w:r w:rsidRPr="00AF5A9D">
        <w:rPr>
          <w:rFonts w:ascii="Garamond" w:hAnsi="Garamond"/>
          <w:color w:val="484C53"/>
          <w:sz w:val="22"/>
          <w:szCs w:val="22"/>
        </w:rPr>
        <w:t xml:space="preserve">The </w:t>
      </w:r>
      <w:r w:rsidRPr="00AF5A9D">
        <w:rPr>
          <w:rFonts w:ascii="Garamond" w:hAnsi="Garamond"/>
          <w:b/>
          <w:i/>
          <w:iCs/>
          <w:color w:val="484C53"/>
          <w:sz w:val="22"/>
          <w:szCs w:val="22"/>
        </w:rPr>
        <w:t>Railroad Revitalization and Regulatory Reform Act of 1976</w:t>
      </w:r>
      <w:r w:rsidRPr="00AF5A9D">
        <w:rPr>
          <w:rFonts w:ascii="Garamond" w:hAnsi="Garamond"/>
          <w:color w:val="484C53"/>
          <w:sz w:val="22"/>
          <w:szCs w:val="22"/>
        </w:rPr>
        <w:t xml:space="preserve"> (separating freight rail from passenger rail) mandated that the STB’s predecessor, the Interstate Commerce Commission (ICC), promulgate and thereafter, revise and maintain standards and procedures for establishing railroad revenue adequacy.</w:t>
      </w:r>
    </w:p>
    <w:p w14:paraId="7DE7CB26" w14:textId="77777777" w:rsidR="007E1071" w:rsidRPr="00AF5A9D" w:rsidRDefault="007E1071" w:rsidP="007E1071">
      <w:pPr>
        <w:pStyle w:val="NoSpacing"/>
        <w:rPr>
          <w:rFonts w:ascii="Garamond" w:hAnsi="Garamond"/>
          <w:color w:val="484C53"/>
          <w:sz w:val="22"/>
          <w:szCs w:val="22"/>
        </w:rPr>
      </w:pPr>
    </w:p>
    <w:p w14:paraId="40696684" w14:textId="77777777" w:rsidR="007E1071" w:rsidRPr="00AF5A9D" w:rsidRDefault="00652839" w:rsidP="007E1071">
      <w:pPr>
        <w:pStyle w:val="NoSpacing"/>
        <w:rPr>
          <w:rFonts w:ascii="Garamond" w:hAnsi="Garamond"/>
          <w:color w:val="484C53"/>
          <w:sz w:val="22"/>
          <w:szCs w:val="22"/>
        </w:rPr>
      </w:pPr>
      <w:r w:rsidRPr="00BB4F65">
        <w:rPr>
          <w:rFonts w:ascii="Garamond" w:hAnsi="Garamond"/>
          <w:color w:val="484C53"/>
          <w:sz w:val="22"/>
          <w:szCs w:val="22"/>
        </w:rPr>
        <w:t xml:space="preserve">The </w:t>
      </w:r>
      <w:r w:rsidRPr="00AF5A9D">
        <w:rPr>
          <w:rFonts w:ascii="Garamond" w:hAnsi="Garamond"/>
          <w:b/>
          <w:i/>
          <w:color w:val="484C53"/>
          <w:sz w:val="22"/>
          <w:szCs w:val="22"/>
        </w:rPr>
        <w:t xml:space="preserve">Staggers </w:t>
      </w:r>
      <w:r w:rsidR="00A9622F">
        <w:rPr>
          <w:rFonts w:ascii="Garamond" w:hAnsi="Garamond"/>
          <w:b/>
          <w:i/>
          <w:color w:val="484C53"/>
          <w:sz w:val="22"/>
          <w:szCs w:val="22"/>
        </w:rPr>
        <w:t xml:space="preserve">Rail </w:t>
      </w:r>
      <w:r w:rsidRPr="00AF5A9D">
        <w:rPr>
          <w:rFonts w:ascii="Garamond" w:hAnsi="Garamond"/>
          <w:b/>
          <w:i/>
          <w:color w:val="484C53"/>
          <w:sz w:val="22"/>
          <w:szCs w:val="22"/>
        </w:rPr>
        <w:t>Act</w:t>
      </w:r>
      <w:r w:rsidR="00A9622F">
        <w:rPr>
          <w:rFonts w:ascii="Garamond" w:hAnsi="Garamond"/>
          <w:b/>
          <w:i/>
          <w:color w:val="484C53"/>
          <w:sz w:val="22"/>
          <w:szCs w:val="22"/>
        </w:rPr>
        <w:t xml:space="preserve"> of 1980</w:t>
      </w:r>
      <w:r w:rsidRPr="00AF5A9D">
        <w:rPr>
          <w:rFonts w:ascii="Garamond" w:hAnsi="Garamond"/>
          <w:b/>
          <w:i/>
          <w:color w:val="484C53"/>
          <w:sz w:val="22"/>
          <w:szCs w:val="22"/>
        </w:rPr>
        <w:t xml:space="preserve"> </w:t>
      </w:r>
      <w:r w:rsidR="007E1071" w:rsidRPr="00AF5A9D">
        <w:rPr>
          <w:rFonts w:ascii="Garamond" w:hAnsi="Garamond"/>
          <w:color w:val="484C53"/>
          <w:sz w:val="22"/>
          <w:szCs w:val="22"/>
        </w:rPr>
        <w:t xml:space="preserve">(which partially de-regulated the freight rail industry), revised the nation’s freight rail transportation policy to promote a safe and efficient rail transportation system by allowing freight rail carriers to earn adequate revenues, as determined by the agency.  Moreover, the </w:t>
      </w:r>
      <w:r w:rsidR="007E1071" w:rsidRPr="00AF5A9D">
        <w:rPr>
          <w:rFonts w:ascii="Garamond" w:hAnsi="Garamond"/>
          <w:b/>
          <w:i/>
          <w:iCs/>
          <w:color w:val="484C53"/>
          <w:sz w:val="22"/>
          <w:szCs w:val="22"/>
        </w:rPr>
        <w:t>Staggers Act</w:t>
      </w:r>
      <w:r w:rsidR="007E1071" w:rsidRPr="00AF5A9D">
        <w:rPr>
          <w:rFonts w:ascii="Garamond" w:hAnsi="Garamond"/>
          <w:color w:val="484C53"/>
          <w:sz w:val="22"/>
          <w:szCs w:val="22"/>
        </w:rPr>
        <w:t xml:space="preserve"> required the ICC to begin determining annually which rail carriers are earning adequate revenues.  To implement this requirement, the ICC began a proceeding to adopt standards for determining railroad revenue adequacy.  In that proceeding, the ICC concluded that “the only revenue adequacy standard consistent with the requirements of [</w:t>
      </w:r>
      <w:r w:rsidR="007E1071" w:rsidRPr="00AF5A9D">
        <w:rPr>
          <w:rFonts w:ascii="Garamond" w:hAnsi="Garamond"/>
          <w:i/>
          <w:color w:val="484C53"/>
          <w:sz w:val="22"/>
          <w:szCs w:val="22"/>
        </w:rPr>
        <w:t>Staggers</w:t>
      </w:r>
      <w:r w:rsidR="007E1071" w:rsidRPr="00AF5A9D">
        <w:rPr>
          <w:rFonts w:ascii="Garamond" w:hAnsi="Garamond"/>
          <w:color w:val="484C53"/>
          <w:sz w:val="22"/>
          <w:szCs w:val="22"/>
        </w:rPr>
        <w:t>] is one that uses a rate of return equal to the cost of capital.” </w:t>
      </w:r>
    </w:p>
    <w:p w14:paraId="268EBD95" w14:textId="77777777" w:rsidR="007E1071" w:rsidRDefault="007E1071" w:rsidP="007E1071">
      <w:pPr>
        <w:pStyle w:val="NoSpacing"/>
        <w:rPr>
          <w:rFonts w:ascii="Garamond" w:hAnsi="Garamond"/>
          <w:color w:val="484C53"/>
          <w:sz w:val="22"/>
          <w:szCs w:val="22"/>
        </w:rPr>
      </w:pPr>
    </w:p>
    <w:p w14:paraId="4D0BB89F" w14:textId="77777777" w:rsidR="007E1071" w:rsidRPr="00AF5A9D" w:rsidRDefault="007E1071" w:rsidP="007E1071">
      <w:pPr>
        <w:pStyle w:val="NoSpacing"/>
        <w:rPr>
          <w:rFonts w:ascii="Garamond" w:hAnsi="Garamond"/>
          <w:color w:val="484C53"/>
          <w:sz w:val="22"/>
          <w:szCs w:val="22"/>
        </w:rPr>
      </w:pPr>
      <w:r w:rsidRPr="00AF5A9D">
        <w:rPr>
          <w:rFonts w:ascii="Garamond" w:hAnsi="Garamond"/>
          <w:color w:val="484C53"/>
          <w:sz w:val="22"/>
          <w:szCs w:val="22"/>
        </w:rPr>
        <w:t xml:space="preserve">These U.S. Congressional mandates still govern the STB (like the ICC before it) when annually determining which rail carriers are revenue adequate by comparing a carrier’s rate of return with the cost of capital.  Over the years, the ICC/STB has </w:t>
      </w:r>
      <w:r w:rsidR="00652839" w:rsidRPr="00AF5A9D">
        <w:rPr>
          <w:rFonts w:ascii="Garamond" w:hAnsi="Garamond"/>
          <w:color w:val="484C53"/>
          <w:sz w:val="22"/>
          <w:szCs w:val="22"/>
        </w:rPr>
        <w:t xml:space="preserve">adjusted </w:t>
      </w:r>
      <w:r w:rsidRPr="00AF5A9D">
        <w:rPr>
          <w:rFonts w:ascii="Garamond" w:hAnsi="Garamond"/>
          <w:color w:val="484C53"/>
          <w:sz w:val="22"/>
          <w:szCs w:val="22"/>
        </w:rPr>
        <w:t>the methodologies used in determining revenue adequacy.</w:t>
      </w:r>
    </w:p>
    <w:p w14:paraId="55B68E24" w14:textId="77777777" w:rsidR="007E1071" w:rsidRPr="00AF5A9D" w:rsidRDefault="007E1071" w:rsidP="007E1071">
      <w:pPr>
        <w:pStyle w:val="NoSpacing"/>
        <w:rPr>
          <w:rFonts w:ascii="Garamond" w:hAnsi="Garamond"/>
          <w:color w:val="484C53"/>
          <w:sz w:val="22"/>
          <w:szCs w:val="22"/>
        </w:rPr>
      </w:pPr>
    </w:p>
    <w:p w14:paraId="5777E7DF" w14:textId="77777777" w:rsidR="007E1071" w:rsidRPr="00AF5A9D" w:rsidRDefault="007E1071" w:rsidP="007E1071">
      <w:pPr>
        <w:pStyle w:val="NoSpacing"/>
        <w:rPr>
          <w:rFonts w:ascii="Garamond" w:hAnsi="Garamond"/>
          <w:color w:val="484C53"/>
          <w:sz w:val="22"/>
          <w:szCs w:val="22"/>
        </w:rPr>
      </w:pPr>
      <w:r w:rsidRPr="00AF5A9D">
        <w:rPr>
          <w:rFonts w:ascii="Garamond" w:hAnsi="Garamond"/>
          <w:color w:val="484C53"/>
          <w:sz w:val="22"/>
          <w:szCs w:val="22"/>
        </w:rPr>
        <w:t xml:space="preserve">The ICC declared that once a railroad has become revenue adequate over a period of time, shippers should be able to challenge the railroad’s rates on the ground that the railroad is financially healthy, thus, not needing to charge such high rates.  However, </w:t>
      </w:r>
      <w:r w:rsidR="00AF5A9D" w:rsidRPr="00BB4F65">
        <w:rPr>
          <w:rFonts w:ascii="Garamond" w:hAnsi="Garamond"/>
          <w:color w:val="484C53"/>
          <w:sz w:val="22"/>
          <w:szCs w:val="22"/>
        </w:rPr>
        <w:t>the</w:t>
      </w:r>
      <w:r w:rsidRPr="00BB4F65">
        <w:rPr>
          <w:rFonts w:ascii="Garamond" w:hAnsi="Garamond"/>
          <w:color w:val="484C53"/>
          <w:sz w:val="22"/>
          <w:szCs w:val="22"/>
        </w:rPr>
        <w:t xml:space="preserve"> </w:t>
      </w:r>
      <w:r w:rsidR="006A55E3">
        <w:rPr>
          <w:rFonts w:ascii="Garamond" w:hAnsi="Garamond"/>
          <w:color w:val="484C53"/>
          <w:sz w:val="22"/>
          <w:szCs w:val="22"/>
        </w:rPr>
        <w:t xml:space="preserve">methods used by </w:t>
      </w:r>
      <w:r w:rsidRPr="00BB4F65">
        <w:rPr>
          <w:rFonts w:ascii="Garamond" w:hAnsi="Garamond"/>
          <w:color w:val="484C53"/>
          <w:sz w:val="22"/>
          <w:szCs w:val="22"/>
        </w:rPr>
        <w:t>STB</w:t>
      </w:r>
      <w:r w:rsidRPr="00AF5A9D">
        <w:rPr>
          <w:rFonts w:ascii="Garamond" w:hAnsi="Garamond"/>
          <w:color w:val="484C53"/>
          <w:sz w:val="22"/>
          <w:szCs w:val="22"/>
        </w:rPr>
        <w:t xml:space="preserve"> (or the previous ICC) </w:t>
      </w:r>
      <w:r w:rsidR="006A55E3">
        <w:rPr>
          <w:rFonts w:ascii="Garamond" w:hAnsi="Garamond"/>
          <w:color w:val="484C53"/>
          <w:sz w:val="22"/>
          <w:szCs w:val="22"/>
        </w:rPr>
        <w:t>to measure</w:t>
      </w:r>
      <w:r w:rsidRPr="00AF5A9D">
        <w:rPr>
          <w:rFonts w:ascii="Garamond" w:hAnsi="Garamond"/>
          <w:color w:val="484C53"/>
          <w:sz w:val="22"/>
          <w:szCs w:val="22"/>
        </w:rPr>
        <w:t xml:space="preserve"> revenue adequacy </w:t>
      </w:r>
      <w:r w:rsidR="006A55E3">
        <w:rPr>
          <w:rFonts w:ascii="Garamond" w:hAnsi="Garamond"/>
          <w:color w:val="484C53"/>
          <w:sz w:val="22"/>
          <w:szCs w:val="22"/>
        </w:rPr>
        <w:t xml:space="preserve">have major flaws </w:t>
      </w:r>
      <w:r w:rsidRPr="00AF5A9D">
        <w:rPr>
          <w:rFonts w:ascii="Garamond" w:hAnsi="Garamond"/>
          <w:color w:val="484C53"/>
          <w:sz w:val="22"/>
          <w:szCs w:val="22"/>
        </w:rPr>
        <w:t xml:space="preserve">and do not </w:t>
      </w:r>
      <w:r w:rsidR="006A55E3">
        <w:rPr>
          <w:rFonts w:ascii="Garamond" w:hAnsi="Garamond"/>
          <w:color w:val="484C53"/>
          <w:sz w:val="22"/>
          <w:szCs w:val="22"/>
        </w:rPr>
        <w:t>accurately</w:t>
      </w:r>
      <w:r w:rsidR="00DF4496">
        <w:rPr>
          <w:rFonts w:ascii="Garamond" w:hAnsi="Garamond"/>
          <w:color w:val="484C53"/>
          <w:sz w:val="22"/>
          <w:szCs w:val="22"/>
        </w:rPr>
        <w:t xml:space="preserve"> </w:t>
      </w:r>
      <w:r w:rsidRPr="00AF5A9D">
        <w:rPr>
          <w:rFonts w:ascii="Garamond" w:hAnsi="Garamond"/>
          <w:color w:val="484C53"/>
          <w:sz w:val="22"/>
          <w:szCs w:val="22"/>
        </w:rPr>
        <w:t>reflect today’s market conditions.  Moreover, neither the ICC nor the STB have fully defined the process for shippers when challenging a rate on this basis.</w:t>
      </w:r>
    </w:p>
    <w:p w14:paraId="2E074C53" w14:textId="77777777" w:rsidR="007E1071" w:rsidRPr="00AF5A9D" w:rsidRDefault="007E1071" w:rsidP="007E1071">
      <w:pPr>
        <w:pStyle w:val="NoSpacing"/>
        <w:rPr>
          <w:rFonts w:ascii="Garamond" w:hAnsi="Garamond"/>
          <w:color w:val="484C53"/>
          <w:sz w:val="22"/>
          <w:szCs w:val="22"/>
        </w:rPr>
      </w:pPr>
    </w:p>
    <w:p w14:paraId="6907DEB9" w14:textId="77777777" w:rsidR="007E1071" w:rsidRPr="00AF5A9D" w:rsidRDefault="007E1071" w:rsidP="007E1071">
      <w:pPr>
        <w:pStyle w:val="NoSpacing"/>
        <w:rPr>
          <w:rFonts w:ascii="Garamond" w:hAnsi="Garamond"/>
          <w:color w:val="484C53"/>
          <w:sz w:val="22"/>
          <w:szCs w:val="22"/>
        </w:rPr>
      </w:pPr>
      <w:r w:rsidRPr="00AF5A9D">
        <w:rPr>
          <w:rFonts w:ascii="Garamond" w:hAnsi="Garamond"/>
          <w:color w:val="484C53"/>
          <w:sz w:val="22"/>
          <w:szCs w:val="22"/>
        </w:rPr>
        <w:lastRenderedPageBreak/>
        <w:t xml:space="preserve">When reviewing just the past few years alone, STB determined that four of the seven Class I carriers were </w:t>
      </w:r>
      <w:r w:rsidR="00AF5A9D" w:rsidRPr="00BB4F65">
        <w:rPr>
          <w:rFonts w:ascii="Garamond" w:hAnsi="Garamond"/>
          <w:color w:val="484C53"/>
          <w:sz w:val="22"/>
          <w:szCs w:val="22"/>
        </w:rPr>
        <w:t>“</w:t>
      </w:r>
      <w:r w:rsidRPr="00BB4F65">
        <w:rPr>
          <w:rFonts w:ascii="Garamond" w:hAnsi="Garamond"/>
          <w:color w:val="484C53"/>
          <w:sz w:val="22"/>
          <w:szCs w:val="22"/>
        </w:rPr>
        <w:t>revenue adequate</w:t>
      </w:r>
      <w:r w:rsidR="006A55E3">
        <w:rPr>
          <w:rFonts w:ascii="Garamond" w:hAnsi="Garamond"/>
          <w:color w:val="484C53"/>
          <w:sz w:val="22"/>
          <w:szCs w:val="22"/>
        </w:rPr>
        <w:t>,</w:t>
      </w:r>
      <w:r w:rsidR="00AF5A9D" w:rsidRPr="00BB4F65">
        <w:rPr>
          <w:rFonts w:ascii="Garamond" w:hAnsi="Garamond"/>
          <w:color w:val="484C53"/>
          <w:sz w:val="22"/>
          <w:szCs w:val="22"/>
        </w:rPr>
        <w:t>”</w:t>
      </w:r>
      <w:r w:rsidRPr="00BB4F65">
        <w:rPr>
          <w:rFonts w:ascii="Garamond" w:hAnsi="Garamond"/>
          <w:color w:val="484C53"/>
          <w:sz w:val="22"/>
          <w:szCs w:val="22"/>
        </w:rPr>
        <w:t xml:space="preserve"> while two others fell shy of meeting the determination in 2015 and 2014.  In 2013, five of</w:t>
      </w:r>
      <w:r w:rsidRPr="00AF5A9D">
        <w:rPr>
          <w:rFonts w:ascii="Garamond" w:hAnsi="Garamond"/>
          <w:color w:val="484C53"/>
          <w:sz w:val="22"/>
          <w:szCs w:val="22"/>
        </w:rPr>
        <w:t xml:space="preserve"> the Class I carriers were deemed “revenue adequate.”</w:t>
      </w:r>
    </w:p>
    <w:p w14:paraId="6DF83F7D" w14:textId="77777777" w:rsidR="007E1071" w:rsidRPr="00AF5A9D" w:rsidRDefault="007E1071" w:rsidP="007E1071">
      <w:pPr>
        <w:pStyle w:val="NoSpacing"/>
        <w:rPr>
          <w:rFonts w:ascii="Garamond" w:hAnsi="Garamond"/>
          <w:color w:val="484C53"/>
          <w:sz w:val="22"/>
          <w:szCs w:val="22"/>
        </w:rPr>
      </w:pPr>
    </w:p>
    <w:p w14:paraId="67A887E8" w14:textId="77777777" w:rsidR="007E1071" w:rsidRPr="00AF5A9D" w:rsidRDefault="007E1071" w:rsidP="007E1071">
      <w:pPr>
        <w:pStyle w:val="NoSpacing"/>
        <w:rPr>
          <w:rFonts w:ascii="Garamond" w:hAnsi="Garamond"/>
          <w:color w:val="484C53"/>
          <w:sz w:val="22"/>
          <w:szCs w:val="22"/>
        </w:rPr>
      </w:pPr>
      <w:r w:rsidRPr="00AF5A9D">
        <w:rPr>
          <w:rFonts w:ascii="Garamond" w:hAnsi="Garamond"/>
          <w:color w:val="484C53"/>
          <w:sz w:val="22"/>
          <w:szCs w:val="22"/>
        </w:rPr>
        <w:t xml:space="preserve">The concept of revenue adequacy is also a component of the STB’s standard for judging the reasonableness of rail freight rates, as set forth in the </w:t>
      </w:r>
      <w:r w:rsidRPr="00AF5A9D">
        <w:rPr>
          <w:rFonts w:ascii="Garamond" w:hAnsi="Garamond"/>
          <w:color w:val="484C53"/>
          <w:sz w:val="22"/>
          <w:szCs w:val="22"/>
          <w:u w:val="single"/>
        </w:rPr>
        <w:t>Coal Rate Guidelines</w:t>
      </w:r>
      <w:r w:rsidRPr="00AF5A9D">
        <w:rPr>
          <w:rFonts w:ascii="Garamond" w:hAnsi="Garamond"/>
          <w:color w:val="484C53"/>
          <w:sz w:val="22"/>
          <w:szCs w:val="22"/>
        </w:rPr>
        <w:t>.</w:t>
      </w:r>
    </w:p>
    <w:p w14:paraId="4772C5E5" w14:textId="77777777" w:rsidR="007E1071" w:rsidRDefault="007E1071" w:rsidP="007E1071">
      <w:pPr>
        <w:pStyle w:val="NoSpacing"/>
        <w:rPr>
          <w:rFonts w:ascii="Garamond" w:hAnsi="Garamond"/>
          <w:color w:val="484C53"/>
          <w:sz w:val="22"/>
          <w:szCs w:val="22"/>
        </w:rPr>
      </w:pPr>
    </w:p>
    <w:p w14:paraId="191EAA46" w14:textId="09555CF6" w:rsidR="00C7252B" w:rsidRPr="007263B4" w:rsidRDefault="00C7252B" w:rsidP="00C7252B">
      <w:pPr>
        <w:pStyle w:val="NoSpacing"/>
        <w:rPr>
          <w:rFonts w:ascii="Garamond" w:hAnsi="Garamond"/>
          <w:sz w:val="22"/>
          <w:szCs w:val="22"/>
        </w:rPr>
      </w:pPr>
      <w:r w:rsidRPr="00EE6C79">
        <w:rPr>
          <w:rFonts w:ascii="Garamond" w:hAnsi="Garamond"/>
          <w:sz w:val="22"/>
          <w:szCs w:val="22"/>
        </w:rPr>
        <w:t>Regarding the “replacement cost methodology matter</w:t>
      </w:r>
      <w:r w:rsidR="00E50572">
        <w:rPr>
          <w:rFonts w:ascii="Garamond" w:hAnsi="Garamond"/>
          <w:color w:val="C45911" w:themeColor="accent2" w:themeShade="BF"/>
          <w:sz w:val="22"/>
          <w:szCs w:val="22"/>
        </w:rPr>
        <w:t>,</w:t>
      </w:r>
      <w:r w:rsidRPr="00EE6C79">
        <w:rPr>
          <w:rFonts w:ascii="Garamond" w:hAnsi="Garamond"/>
          <w:sz w:val="22"/>
          <w:szCs w:val="22"/>
        </w:rPr>
        <w:t>”, it</w:t>
      </w:r>
      <w:r w:rsidRPr="007263B4">
        <w:rPr>
          <w:rFonts w:ascii="Garamond" w:hAnsi="Garamond"/>
          <w:sz w:val="22"/>
          <w:szCs w:val="22"/>
        </w:rPr>
        <w:t xml:space="preserve"> has been examined repeatedly, including by the Railroad Accounting Principles Board.  The use of replacement cost methodologies has always soundly been rejected.  Given the financial strength of the railroads today, including publicly available information indicating that the railroad industry is revenue adequate, there is no plausible basis for the STB to adopt a replacement cost approach to evaluate revenue adequacy or limit the availability of rate relief.  </w:t>
      </w:r>
    </w:p>
    <w:p w14:paraId="48770F3A" w14:textId="77777777" w:rsidR="00C7252B" w:rsidRPr="007263B4" w:rsidRDefault="00C7252B" w:rsidP="00C7252B">
      <w:pPr>
        <w:pStyle w:val="NoSpacing"/>
        <w:rPr>
          <w:rFonts w:ascii="Garamond" w:hAnsi="Garamond"/>
          <w:sz w:val="22"/>
          <w:szCs w:val="22"/>
          <w:highlight w:val="yellow"/>
        </w:rPr>
      </w:pPr>
    </w:p>
    <w:p w14:paraId="1A900F12" w14:textId="77777777" w:rsidR="00C7252B" w:rsidRDefault="00C7252B" w:rsidP="00C7252B">
      <w:pPr>
        <w:rPr>
          <w:rFonts w:ascii="Garamond" w:hAnsi="Garamond"/>
        </w:rPr>
      </w:pPr>
      <w:r w:rsidRPr="00EE6C79">
        <w:rPr>
          <w:rFonts w:ascii="Garamond" w:hAnsi="Garamond"/>
        </w:rPr>
        <w:t xml:space="preserve">It should be noted that in </w:t>
      </w:r>
      <w:r w:rsidR="005B02AD" w:rsidRPr="00EE6C79">
        <w:rPr>
          <w:rFonts w:ascii="Garamond" w:hAnsi="Garamond"/>
        </w:rPr>
        <w:t xml:space="preserve">in 2008 the </w:t>
      </w:r>
      <w:r w:rsidRPr="00EE6C79">
        <w:rPr>
          <w:rFonts w:ascii="Garamond" w:hAnsi="Garamond"/>
        </w:rPr>
        <w:t>Association of American Railroads (</w:t>
      </w:r>
      <w:r w:rsidR="005B02AD" w:rsidRPr="00EE6C79">
        <w:rPr>
          <w:rFonts w:ascii="Garamond" w:hAnsi="Garamond"/>
        </w:rPr>
        <w:t>AAR</w:t>
      </w:r>
      <w:r w:rsidRPr="00EE6C79">
        <w:rPr>
          <w:rFonts w:ascii="Garamond" w:hAnsi="Garamond"/>
        </w:rPr>
        <w:t>)</w:t>
      </w:r>
      <w:r w:rsidR="005B02AD" w:rsidRPr="00EE6C79">
        <w:rPr>
          <w:rFonts w:ascii="Garamond" w:hAnsi="Garamond"/>
        </w:rPr>
        <w:t xml:space="preserve"> submitted a petition to the STB requesting that the Board use replacement cost methodologies when evaluating revenue adequacy (Docket No. EP 679, Replacement Cost).</w:t>
      </w:r>
      <w:r w:rsidRPr="00EE6C79">
        <w:rPr>
          <w:rFonts w:ascii="Garamond" w:hAnsi="Garamond"/>
        </w:rPr>
        <w:t xml:space="preserve">  In addition, CSX</w:t>
      </w:r>
      <w:r w:rsidR="007263B4" w:rsidRPr="00EE6C79">
        <w:rPr>
          <w:rFonts w:ascii="Garamond" w:hAnsi="Garamond"/>
        </w:rPr>
        <w:t xml:space="preserve"> Transportation</w:t>
      </w:r>
      <w:r w:rsidRPr="00EE6C79">
        <w:rPr>
          <w:rFonts w:ascii="Garamond" w:hAnsi="Garamond"/>
        </w:rPr>
        <w:t xml:space="preserve"> falsely assert</w:t>
      </w:r>
      <w:r w:rsidR="007263B4" w:rsidRPr="00EE6C79">
        <w:rPr>
          <w:rFonts w:ascii="Garamond" w:hAnsi="Garamond"/>
        </w:rPr>
        <w:t>ed</w:t>
      </w:r>
      <w:r w:rsidRPr="00EE6C79">
        <w:rPr>
          <w:rFonts w:ascii="Garamond" w:hAnsi="Garamond"/>
        </w:rPr>
        <w:t xml:space="preserve"> that Section 16 </w:t>
      </w:r>
      <w:r w:rsidR="007263B4" w:rsidRPr="00EE6C79">
        <w:rPr>
          <w:rFonts w:ascii="Garamond" w:hAnsi="Garamond"/>
        </w:rPr>
        <w:t xml:space="preserve">(Criteria) </w:t>
      </w:r>
      <w:r w:rsidRPr="00EE6C79">
        <w:rPr>
          <w:rFonts w:ascii="Garamond" w:hAnsi="Garamond"/>
        </w:rPr>
        <w:t xml:space="preserve">of the </w:t>
      </w:r>
      <w:r w:rsidRPr="00EE6C79">
        <w:rPr>
          <w:rFonts w:ascii="Garamond" w:hAnsi="Garamond"/>
          <w:b/>
          <w:i/>
        </w:rPr>
        <w:t xml:space="preserve">STB Reauthorization Act of 2015, </w:t>
      </w:r>
      <w:r w:rsidRPr="00EE6C79">
        <w:rPr>
          <w:rFonts w:ascii="Garamond" w:hAnsi="Garamond"/>
        </w:rPr>
        <w:t>P.L. 114-110</w:t>
      </w:r>
      <w:r w:rsidRPr="00EE6C79">
        <w:rPr>
          <w:rFonts w:ascii="Garamond" w:hAnsi="Garamond"/>
          <w:b/>
          <w:i/>
        </w:rPr>
        <w:t>,</w:t>
      </w:r>
      <w:r w:rsidRPr="00EE6C79">
        <w:rPr>
          <w:rFonts w:ascii="Garamond" w:hAnsi="Garamond"/>
        </w:rPr>
        <w:t xml:space="preserve"> directs the STB to use replacement cost methodologies when evaluating revenue adequacy in its evidence filed March 7,</w:t>
      </w:r>
      <w:r w:rsidRPr="00EE6C79">
        <w:rPr>
          <w:rFonts w:ascii="Garamond" w:hAnsi="Garamond"/>
          <w:vertAlign w:val="superscript"/>
        </w:rPr>
        <w:t xml:space="preserve"> </w:t>
      </w:r>
      <w:r w:rsidRPr="00EE6C79">
        <w:rPr>
          <w:rFonts w:ascii="Garamond" w:hAnsi="Garamond"/>
        </w:rPr>
        <w:t>2016 in the Consumers Energy Company Rate Case (Docket No. NOR 42142).</w:t>
      </w:r>
      <w:r>
        <w:rPr>
          <w:rFonts w:ascii="Garamond" w:hAnsi="Garamond"/>
        </w:rPr>
        <w:t xml:space="preserve">  </w:t>
      </w:r>
    </w:p>
    <w:p w14:paraId="239EE7B4" w14:textId="77777777" w:rsidR="007263B4" w:rsidRDefault="007263B4" w:rsidP="00C7252B">
      <w:pPr>
        <w:rPr>
          <w:rFonts w:ascii="Garamond" w:hAnsi="Garamond"/>
        </w:rPr>
      </w:pPr>
    </w:p>
    <w:p w14:paraId="222BA6C7" w14:textId="4EABB2D4" w:rsidR="007263B4" w:rsidRDefault="007263B4" w:rsidP="007263B4">
      <w:pPr>
        <w:rPr>
          <w:rFonts w:ascii="Garamond" w:hAnsi="Garamond"/>
        </w:rPr>
      </w:pPr>
      <w:r>
        <w:rPr>
          <w:rFonts w:ascii="Garamond" w:hAnsi="Garamond"/>
        </w:rPr>
        <w:t xml:space="preserve">On March 31, 2016 Senator </w:t>
      </w:r>
      <w:r w:rsidR="00E77A2C">
        <w:rPr>
          <w:rFonts w:ascii="Garamond" w:hAnsi="Garamond"/>
        </w:rPr>
        <w:t xml:space="preserve">John </w:t>
      </w:r>
      <w:r>
        <w:rPr>
          <w:rFonts w:ascii="Garamond" w:hAnsi="Garamond"/>
        </w:rPr>
        <w:t>Thune</w:t>
      </w:r>
      <w:r w:rsidR="00423B7D">
        <w:rPr>
          <w:rFonts w:ascii="Garamond" w:hAnsi="Garamond"/>
        </w:rPr>
        <w:t xml:space="preserve"> (</w:t>
      </w:r>
      <w:r w:rsidR="00E77A2C">
        <w:rPr>
          <w:rFonts w:ascii="Garamond" w:hAnsi="Garamond"/>
        </w:rPr>
        <w:t>R-SD</w:t>
      </w:r>
      <w:r w:rsidR="00423B7D">
        <w:rPr>
          <w:rFonts w:ascii="Garamond" w:hAnsi="Garamond"/>
        </w:rPr>
        <w:t>)</w:t>
      </w:r>
      <w:r w:rsidR="00E77A2C">
        <w:rPr>
          <w:rFonts w:ascii="Garamond" w:hAnsi="Garamond"/>
        </w:rPr>
        <w:t>, chairman of the Senate Commerce, Science and Transportation Committee,</w:t>
      </w:r>
      <w:r>
        <w:rPr>
          <w:rFonts w:ascii="Garamond" w:hAnsi="Garamond"/>
        </w:rPr>
        <w:t xml:space="preserve"> sent a letter to the STB Members providing various observations on how the new law is being implemented.  Of note, the Chairman emphasized that Section 16 (Criteria) does not require any change in how STB evaluates railroad revenue adequacy –  </w:t>
      </w:r>
      <w:r w:rsidRPr="00F557CC">
        <w:rPr>
          <w:rFonts w:ascii="Garamond" w:hAnsi="Garamond"/>
        </w:rPr>
        <w:t xml:space="preserve">either in statutory language or accompanying report language (or via congressional intent).  </w:t>
      </w:r>
      <w:r>
        <w:rPr>
          <w:rFonts w:ascii="Garamond" w:hAnsi="Garamond"/>
        </w:rPr>
        <w:t xml:space="preserve">This letter can be accessed via </w:t>
      </w:r>
      <w:hyperlink r:id="rId8" w:history="1">
        <w:r w:rsidRPr="004A15DD">
          <w:rPr>
            <w:rStyle w:val="Hyperlink"/>
            <w:rFonts w:ascii="Garamond" w:hAnsi="Garamond"/>
          </w:rPr>
          <w:t>https://www.stb.gov/stb/docs/Reauthorization/Monthly%20Implementation%20Reports/U.S.%20Senate%20Committee%20on%20Commerce,%20Science%20and%20Transportation,%20March%2031,%202016.pdf</w:t>
        </w:r>
      </w:hyperlink>
    </w:p>
    <w:p w14:paraId="7FA9F795" w14:textId="77777777" w:rsidR="007263B4" w:rsidRDefault="007263B4" w:rsidP="00C7252B">
      <w:pPr>
        <w:rPr>
          <w:rFonts w:ascii="Garamond" w:hAnsi="Garamond"/>
        </w:rPr>
      </w:pPr>
    </w:p>
    <w:p w14:paraId="368C006C" w14:textId="77777777" w:rsidR="00024C98" w:rsidRPr="00024C98" w:rsidRDefault="00024C98" w:rsidP="00024C98">
      <w:pPr>
        <w:pStyle w:val="NoSpacing"/>
        <w:jc w:val="both"/>
        <w:rPr>
          <w:rFonts w:ascii="Garamond" w:hAnsi="Garamond"/>
          <w:b/>
          <w:sz w:val="22"/>
          <w:szCs w:val="22"/>
        </w:rPr>
      </w:pPr>
      <w:r w:rsidRPr="00024C98">
        <w:rPr>
          <w:rFonts w:ascii="Garamond" w:hAnsi="Garamond"/>
          <w:sz w:val="22"/>
          <w:szCs w:val="22"/>
        </w:rPr>
        <w:t>Please refer to the FRCA position paper, “</w:t>
      </w:r>
      <w:r w:rsidRPr="00024C98">
        <w:rPr>
          <w:rFonts w:ascii="Garamond" w:hAnsi="Garamond"/>
          <w:b/>
          <w:sz w:val="22"/>
          <w:szCs w:val="22"/>
        </w:rPr>
        <w:t>Congressional Oversight</w:t>
      </w:r>
      <w:r>
        <w:rPr>
          <w:rFonts w:ascii="Garamond" w:hAnsi="Garamond"/>
          <w:b/>
          <w:sz w:val="22"/>
          <w:szCs w:val="22"/>
        </w:rPr>
        <w:t xml:space="preserve"> – </w:t>
      </w:r>
      <w:r w:rsidRPr="00024C98">
        <w:rPr>
          <w:rFonts w:ascii="Garamond" w:hAnsi="Garamond"/>
          <w:b/>
          <w:sz w:val="22"/>
          <w:szCs w:val="22"/>
        </w:rPr>
        <w:t xml:space="preserve">Implementation of the </w:t>
      </w:r>
    </w:p>
    <w:p w14:paraId="33F8FB4A" w14:textId="77777777" w:rsidR="00024C98" w:rsidRPr="00024C98" w:rsidRDefault="00024C98" w:rsidP="00024C98">
      <w:pPr>
        <w:pStyle w:val="NoSpacing"/>
        <w:jc w:val="both"/>
        <w:rPr>
          <w:rFonts w:ascii="Garamond" w:hAnsi="Garamond"/>
          <w:sz w:val="22"/>
          <w:szCs w:val="22"/>
        </w:rPr>
      </w:pPr>
      <w:r w:rsidRPr="00024C98">
        <w:rPr>
          <w:rFonts w:ascii="Garamond" w:hAnsi="Garamond"/>
          <w:b/>
          <w:sz w:val="22"/>
          <w:szCs w:val="22"/>
        </w:rPr>
        <w:t>Surface Transportation Board Reauthorization Act of 2015</w:t>
      </w:r>
      <w:r w:rsidRPr="00024C98">
        <w:rPr>
          <w:rFonts w:ascii="Garamond" w:hAnsi="Garamond"/>
          <w:sz w:val="22"/>
          <w:szCs w:val="22"/>
        </w:rPr>
        <w:t>”, for more information.</w:t>
      </w:r>
    </w:p>
    <w:p w14:paraId="71CD075E" w14:textId="77777777" w:rsidR="00AF5A9D" w:rsidRPr="00024C98" w:rsidRDefault="00AF5A9D" w:rsidP="00024C98">
      <w:pPr>
        <w:pStyle w:val="NoSpacing"/>
        <w:jc w:val="both"/>
        <w:rPr>
          <w:rFonts w:ascii="Garamond" w:hAnsi="Garamond"/>
          <w:b/>
          <w:color w:val="484C53"/>
          <w:sz w:val="22"/>
          <w:szCs w:val="22"/>
        </w:rPr>
      </w:pPr>
    </w:p>
    <w:p w14:paraId="61A097E8" w14:textId="484F7E5B" w:rsidR="007263B4" w:rsidRPr="00A55078" w:rsidRDefault="00AF5A9D" w:rsidP="007263B4">
      <w:pPr>
        <w:pStyle w:val="NoSpacing"/>
        <w:rPr>
          <w:rFonts w:ascii="Garamond" w:hAnsi="Garamond"/>
          <w:sz w:val="22"/>
          <w:szCs w:val="22"/>
        </w:rPr>
      </w:pPr>
      <w:r>
        <w:rPr>
          <w:rFonts w:ascii="Garamond" w:hAnsi="Garamond"/>
          <w:b/>
          <w:color w:val="484C53"/>
        </w:rPr>
        <w:t>Status</w:t>
      </w:r>
      <w:r w:rsidR="007E1071" w:rsidRPr="00AF5A9D">
        <w:rPr>
          <w:rFonts w:ascii="Garamond" w:hAnsi="Garamond"/>
          <w:b/>
          <w:color w:val="484C53"/>
        </w:rPr>
        <w:br/>
      </w:r>
      <w:r w:rsidR="00BB4F65" w:rsidRPr="00A55078">
        <w:rPr>
          <w:rFonts w:ascii="Garamond" w:hAnsi="Garamond"/>
          <w:sz w:val="22"/>
          <w:szCs w:val="22"/>
        </w:rPr>
        <w:t>The STB is considering public comments</w:t>
      </w:r>
      <w:r w:rsidR="001D45A8" w:rsidRPr="00A55078">
        <w:rPr>
          <w:rFonts w:ascii="Garamond" w:hAnsi="Garamond"/>
          <w:sz w:val="22"/>
          <w:szCs w:val="22"/>
        </w:rPr>
        <w:t xml:space="preserve"> as a part of the Board’s efforts in </w:t>
      </w:r>
      <w:r w:rsidR="00BB4F65" w:rsidRPr="00A55078">
        <w:rPr>
          <w:rFonts w:ascii="Garamond" w:hAnsi="Garamond"/>
          <w:sz w:val="22"/>
          <w:szCs w:val="22"/>
        </w:rPr>
        <w:t>exploring its methodology for determining railroad revenue adequacy, as well as the revenue adequacy component used in judging the reasonableness of rail freight rates</w:t>
      </w:r>
      <w:r w:rsidR="006A55E3" w:rsidRPr="00A55078">
        <w:rPr>
          <w:rFonts w:ascii="Garamond" w:hAnsi="Garamond"/>
          <w:sz w:val="22"/>
          <w:szCs w:val="22"/>
        </w:rPr>
        <w:t xml:space="preserve"> in </w:t>
      </w:r>
      <w:r w:rsidR="00BB4F65" w:rsidRPr="00A55078">
        <w:rPr>
          <w:rFonts w:ascii="Garamond" w:eastAsia="Times New Roman" w:hAnsi="Garamond"/>
          <w:sz w:val="22"/>
          <w:szCs w:val="22"/>
        </w:rPr>
        <w:t xml:space="preserve">Docket No. EP 722, </w:t>
      </w:r>
      <w:r w:rsidR="00BB4F65" w:rsidRPr="00A55078">
        <w:rPr>
          <w:rFonts w:ascii="Garamond" w:eastAsia="Times New Roman" w:hAnsi="Garamond"/>
          <w:i/>
          <w:iCs/>
          <w:sz w:val="22"/>
          <w:szCs w:val="22"/>
          <w:u w:val="single"/>
        </w:rPr>
        <w:t>Railroad Revenue Adequacy</w:t>
      </w:r>
      <w:r w:rsidR="00BB4F65" w:rsidRPr="00A55078">
        <w:rPr>
          <w:rFonts w:ascii="Garamond" w:eastAsia="Times New Roman" w:hAnsi="Garamond"/>
          <w:sz w:val="22"/>
          <w:szCs w:val="22"/>
        </w:rPr>
        <w:t>.</w:t>
      </w:r>
      <w:r w:rsidR="007263B4" w:rsidRPr="00A55078">
        <w:rPr>
          <w:rFonts w:ascii="Garamond" w:hAnsi="Garamond"/>
          <w:sz w:val="22"/>
          <w:szCs w:val="22"/>
        </w:rPr>
        <w:t xml:space="preserve"> </w:t>
      </w:r>
    </w:p>
    <w:p w14:paraId="68F09BBC" w14:textId="77777777" w:rsidR="00BB4F65" w:rsidRPr="00A55078" w:rsidRDefault="00BB4F65" w:rsidP="005A2A9F">
      <w:pPr>
        <w:pStyle w:val="NoSpacing"/>
        <w:rPr>
          <w:rFonts w:ascii="Garamond" w:eastAsia="Times New Roman" w:hAnsi="Garamond"/>
          <w:sz w:val="22"/>
          <w:szCs w:val="22"/>
        </w:rPr>
      </w:pPr>
    </w:p>
    <w:p w14:paraId="7193702F" w14:textId="77777777" w:rsidR="00EE6C79" w:rsidRPr="00423B7D" w:rsidRDefault="007E1071" w:rsidP="00EE6C79">
      <w:pPr>
        <w:pStyle w:val="NoSpacing"/>
        <w:rPr>
          <w:rFonts w:ascii="Garamond" w:hAnsi="Garamond"/>
          <w:sz w:val="22"/>
          <w:szCs w:val="22"/>
        </w:rPr>
      </w:pPr>
      <w:r w:rsidRPr="00423B7D">
        <w:rPr>
          <w:rFonts w:ascii="Garamond" w:hAnsi="Garamond"/>
          <w:sz w:val="22"/>
          <w:szCs w:val="22"/>
        </w:rPr>
        <w:t>The STB requested written Comments and Reply Comments in Docket Nos. EP 722, and EP 664 during July and August 2014, respectfully.  The STB held a public hearing the following year in July 2015</w:t>
      </w:r>
      <w:r w:rsidR="001D45A8" w:rsidRPr="00423B7D">
        <w:rPr>
          <w:rFonts w:ascii="Garamond" w:hAnsi="Garamond"/>
          <w:sz w:val="22"/>
          <w:szCs w:val="22"/>
        </w:rPr>
        <w:t>, where FRCA submitted comments</w:t>
      </w:r>
      <w:r w:rsidRPr="00423B7D">
        <w:rPr>
          <w:rFonts w:ascii="Garamond" w:hAnsi="Garamond"/>
          <w:sz w:val="22"/>
          <w:szCs w:val="22"/>
        </w:rPr>
        <w:t xml:space="preserve">. </w:t>
      </w:r>
      <w:r w:rsidR="001D45A8" w:rsidRPr="00423B7D">
        <w:rPr>
          <w:rFonts w:ascii="Garamond" w:hAnsi="Garamond"/>
          <w:sz w:val="22"/>
          <w:szCs w:val="22"/>
        </w:rPr>
        <w:t xml:space="preserve"> </w:t>
      </w:r>
      <w:r w:rsidRPr="00423B7D">
        <w:rPr>
          <w:rFonts w:ascii="Garamond" w:hAnsi="Garamond"/>
          <w:sz w:val="22"/>
          <w:szCs w:val="22"/>
        </w:rPr>
        <w:t>Further action on Docket No. EP 722 is no</w:t>
      </w:r>
      <w:r w:rsidR="006A55E3" w:rsidRPr="00423B7D">
        <w:rPr>
          <w:rFonts w:ascii="Garamond" w:hAnsi="Garamond"/>
          <w:sz w:val="22"/>
          <w:szCs w:val="22"/>
        </w:rPr>
        <w:t>w not</w:t>
      </w:r>
      <w:r w:rsidRPr="00423B7D">
        <w:rPr>
          <w:rFonts w:ascii="Garamond" w:hAnsi="Garamond"/>
          <w:sz w:val="22"/>
          <w:szCs w:val="22"/>
        </w:rPr>
        <w:t xml:space="preserve"> expected until </w:t>
      </w:r>
      <w:r w:rsidR="006A55E3" w:rsidRPr="00423B7D">
        <w:rPr>
          <w:rFonts w:ascii="Garamond" w:hAnsi="Garamond"/>
          <w:sz w:val="22"/>
          <w:szCs w:val="22"/>
        </w:rPr>
        <w:t>at least</w:t>
      </w:r>
      <w:r w:rsidR="00A75E97" w:rsidRPr="00423B7D">
        <w:rPr>
          <w:rFonts w:ascii="Garamond" w:hAnsi="Garamond"/>
          <w:sz w:val="22"/>
          <w:szCs w:val="22"/>
        </w:rPr>
        <w:t xml:space="preserve"> </w:t>
      </w:r>
      <w:r w:rsidRPr="00423B7D">
        <w:rPr>
          <w:rFonts w:ascii="Garamond" w:hAnsi="Garamond"/>
          <w:sz w:val="22"/>
          <w:szCs w:val="22"/>
        </w:rPr>
        <w:t>June 2017.</w:t>
      </w:r>
      <w:r w:rsidR="00EE6C79" w:rsidRPr="00423B7D">
        <w:rPr>
          <w:rFonts w:ascii="Garamond" w:hAnsi="Garamond"/>
          <w:sz w:val="22"/>
          <w:szCs w:val="22"/>
        </w:rPr>
        <w:t xml:space="preserve">  [It should be noted that the Board initially announced the Revenue Adequacy Docket EP 722 proceeding would be initiated in 2013.]</w:t>
      </w:r>
    </w:p>
    <w:p w14:paraId="4043A2B3" w14:textId="77777777" w:rsidR="007E1071" w:rsidRPr="00423B7D" w:rsidRDefault="007E1071" w:rsidP="000E3A40">
      <w:pPr>
        <w:pStyle w:val="NoSpacing"/>
        <w:rPr>
          <w:rFonts w:ascii="Garamond" w:hAnsi="Garamond"/>
          <w:sz w:val="22"/>
          <w:szCs w:val="22"/>
        </w:rPr>
      </w:pPr>
    </w:p>
    <w:p w14:paraId="1C6AAE62" w14:textId="3C15416D" w:rsidR="008E1661" w:rsidRDefault="00423B7D" w:rsidP="00024C98">
      <w:pPr>
        <w:pStyle w:val="NoSpacing"/>
        <w:rPr>
          <w:rFonts w:ascii="Garamond" w:hAnsi="Garamond"/>
          <w:sz w:val="22"/>
          <w:szCs w:val="22"/>
        </w:rPr>
      </w:pPr>
      <w:r>
        <w:rPr>
          <w:rFonts w:ascii="Garamond" w:hAnsi="Garamond"/>
          <w:sz w:val="22"/>
          <w:szCs w:val="22"/>
        </w:rPr>
        <w:t xml:space="preserve">A </w:t>
      </w:r>
      <w:r w:rsidR="006A55E3">
        <w:rPr>
          <w:rFonts w:ascii="Garamond" w:hAnsi="Garamond"/>
          <w:sz w:val="22"/>
          <w:szCs w:val="22"/>
        </w:rPr>
        <w:t xml:space="preserve">related proceeding, </w:t>
      </w:r>
      <w:r w:rsidR="000E3A40" w:rsidRPr="000E3A40">
        <w:rPr>
          <w:rFonts w:ascii="Garamond" w:hAnsi="Garamond"/>
          <w:sz w:val="22"/>
          <w:szCs w:val="22"/>
        </w:rPr>
        <w:t xml:space="preserve">Docket No. 664 (Sub-No.2), </w:t>
      </w:r>
      <w:r w:rsidR="006A55E3">
        <w:rPr>
          <w:rFonts w:ascii="Garamond" w:hAnsi="Garamond"/>
          <w:sz w:val="22"/>
          <w:szCs w:val="22"/>
        </w:rPr>
        <w:t>concern</w:t>
      </w:r>
      <w:r>
        <w:rPr>
          <w:rFonts w:ascii="Garamond" w:hAnsi="Garamond"/>
          <w:sz w:val="22"/>
          <w:szCs w:val="22"/>
        </w:rPr>
        <w:t>s</w:t>
      </w:r>
      <w:r w:rsidR="006A55E3">
        <w:rPr>
          <w:rFonts w:ascii="Garamond" w:hAnsi="Garamond"/>
          <w:sz w:val="22"/>
          <w:szCs w:val="22"/>
        </w:rPr>
        <w:t xml:space="preserve"> the railroad industry cost of capital used to measure revenue adequacy and for the other purposes, </w:t>
      </w:r>
      <w:r w:rsidR="000E3A40" w:rsidRPr="000E3A40">
        <w:rPr>
          <w:rFonts w:ascii="Garamond" w:hAnsi="Garamond"/>
          <w:sz w:val="22"/>
          <w:szCs w:val="22"/>
        </w:rPr>
        <w:t>the Board denied the W</w:t>
      </w:r>
      <w:r w:rsidR="000E3A40">
        <w:rPr>
          <w:rFonts w:ascii="Garamond" w:hAnsi="Garamond"/>
          <w:sz w:val="22"/>
          <w:szCs w:val="22"/>
        </w:rPr>
        <w:t xml:space="preserve">estern Coal Traffic League’s (WCTL) </w:t>
      </w:r>
      <w:r w:rsidR="006A55E3">
        <w:rPr>
          <w:rFonts w:ascii="Garamond" w:hAnsi="Garamond"/>
          <w:sz w:val="22"/>
          <w:szCs w:val="22"/>
        </w:rPr>
        <w:t xml:space="preserve">petition </w:t>
      </w:r>
      <w:r w:rsidR="000E3A40" w:rsidRPr="000E3A40">
        <w:rPr>
          <w:rFonts w:ascii="Garamond" w:hAnsi="Garamond"/>
          <w:sz w:val="22"/>
          <w:szCs w:val="22"/>
        </w:rPr>
        <w:t>that the agency abolishes the use of the multi-stage discounted cash flow model in determining the railroad i</w:t>
      </w:r>
      <w:r w:rsidR="000E3A40">
        <w:rPr>
          <w:rFonts w:ascii="Garamond" w:hAnsi="Garamond"/>
          <w:sz w:val="22"/>
          <w:szCs w:val="22"/>
        </w:rPr>
        <w:t>ndustry’s cost of equity capital on October 31, 2016.  T</w:t>
      </w:r>
      <w:r w:rsidR="000E3A40" w:rsidRPr="000E3A40">
        <w:rPr>
          <w:rFonts w:ascii="Garamond" w:hAnsi="Garamond"/>
          <w:sz w:val="22"/>
          <w:szCs w:val="22"/>
        </w:rPr>
        <w:t xml:space="preserve">he WCTL filed a petition for reconsideration of the STB’s decision on the cost of capital methodology on November 21, 2016.  </w:t>
      </w:r>
    </w:p>
    <w:p w14:paraId="687A6B1C" w14:textId="77777777" w:rsidR="008E1661" w:rsidRDefault="008E1661" w:rsidP="00024C98">
      <w:pPr>
        <w:pStyle w:val="NoSpacing"/>
        <w:rPr>
          <w:rFonts w:ascii="Garamond" w:hAnsi="Garamond"/>
          <w:sz w:val="22"/>
          <w:szCs w:val="22"/>
        </w:rPr>
      </w:pPr>
    </w:p>
    <w:p w14:paraId="7DC58EF5" w14:textId="38B1EC5A" w:rsidR="000F7A6E" w:rsidRPr="007B23E6" w:rsidRDefault="00A55078" w:rsidP="00024C98">
      <w:pPr>
        <w:pStyle w:val="NoSpacing"/>
        <w:rPr>
          <w:rFonts w:ascii="Garamond" w:hAnsi="Garamond"/>
          <w:b/>
          <w:color w:val="000000" w:themeColor="text1"/>
        </w:rPr>
      </w:pPr>
      <w:r w:rsidRPr="00423B7D">
        <w:rPr>
          <w:rFonts w:ascii="Garamond" w:hAnsi="Garamond"/>
          <w:sz w:val="22"/>
          <w:szCs w:val="22"/>
        </w:rPr>
        <w:t xml:space="preserve">It </w:t>
      </w:r>
      <w:r w:rsidR="000E3A40" w:rsidRPr="00423B7D">
        <w:rPr>
          <w:rFonts w:ascii="Garamond" w:hAnsi="Garamond"/>
          <w:sz w:val="22"/>
          <w:szCs w:val="22"/>
        </w:rPr>
        <w:t xml:space="preserve">is </w:t>
      </w:r>
      <w:r w:rsidR="00423B7D" w:rsidRPr="00423B7D">
        <w:rPr>
          <w:rFonts w:ascii="Garamond" w:hAnsi="Garamond"/>
          <w:sz w:val="22"/>
          <w:szCs w:val="22"/>
        </w:rPr>
        <w:t xml:space="preserve">very </w:t>
      </w:r>
      <w:r w:rsidRPr="00423B7D">
        <w:rPr>
          <w:rFonts w:ascii="Garamond" w:hAnsi="Garamond"/>
          <w:sz w:val="22"/>
          <w:szCs w:val="22"/>
        </w:rPr>
        <w:t xml:space="preserve">possible that the STB </w:t>
      </w:r>
      <w:r w:rsidR="00423B7D" w:rsidRPr="00423B7D">
        <w:rPr>
          <w:rFonts w:ascii="Garamond" w:hAnsi="Garamond"/>
          <w:sz w:val="22"/>
          <w:szCs w:val="22"/>
        </w:rPr>
        <w:t xml:space="preserve">intends to reinitiate discussions, </w:t>
      </w:r>
      <w:r w:rsidRPr="00423B7D">
        <w:rPr>
          <w:rFonts w:ascii="Garamond" w:hAnsi="Garamond"/>
          <w:sz w:val="22"/>
          <w:szCs w:val="22"/>
        </w:rPr>
        <w:t>with ex</w:t>
      </w:r>
      <w:r w:rsidR="00423B7D" w:rsidRPr="00423B7D">
        <w:rPr>
          <w:rFonts w:ascii="Garamond" w:hAnsi="Garamond"/>
          <w:sz w:val="22"/>
          <w:szCs w:val="22"/>
        </w:rPr>
        <w:t xml:space="preserve"> </w:t>
      </w:r>
      <w:r w:rsidRPr="00423B7D">
        <w:rPr>
          <w:rFonts w:ascii="Garamond" w:hAnsi="Garamond"/>
          <w:sz w:val="22"/>
          <w:szCs w:val="22"/>
        </w:rPr>
        <w:t xml:space="preserve">parte restrictions waived, </w:t>
      </w:r>
      <w:r w:rsidR="00423B7D" w:rsidRPr="00423B7D">
        <w:rPr>
          <w:rFonts w:ascii="Garamond" w:hAnsi="Garamond"/>
          <w:sz w:val="22"/>
          <w:szCs w:val="22"/>
        </w:rPr>
        <w:t xml:space="preserve">on </w:t>
      </w:r>
      <w:r w:rsidRPr="00423B7D">
        <w:rPr>
          <w:rFonts w:ascii="Garamond" w:hAnsi="Garamond"/>
          <w:sz w:val="22"/>
          <w:szCs w:val="22"/>
        </w:rPr>
        <w:t xml:space="preserve">this matter via its </w:t>
      </w:r>
      <w:r w:rsidRPr="00423B7D">
        <w:rPr>
          <w:rFonts w:ascii="Garamond" w:hAnsi="Garamond"/>
          <w:i/>
          <w:sz w:val="22"/>
          <w:szCs w:val="22"/>
        </w:rPr>
        <w:t>Rate Review Task Force</w:t>
      </w:r>
      <w:r w:rsidRPr="00423B7D">
        <w:rPr>
          <w:rFonts w:ascii="Garamond" w:hAnsi="Garamond"/>
          <w:sz w:val="22"/>
          <w:szCs w:val="22"/>
        </w:rPr>
        <w:t xml:space="preserve">.  It is </w:t>
      </w:r>
      <w:r w:rsidR="000E3A40" w:rsidRPr="00423B7D">
        <w:rPr>
          <w:rFonts w:ascii="Garamond" w:hAnsi="Garamond"/>
          <w:sz w:val="22"/>
          <w:szCs w:val="22"/>
        </w:rPr>
        <w:t>not known</w:t>
      </w:r>
      <w:r w:rsidRPr="00423B7D">
        <w:rPr>
          <w:rFonts w:ascii="Garamond" w:hAnsi="Garamond"/>
          <w:sz w:val="22"/>
          <w:szCs w:val="22"/>
        </w:rPr>
        <w:t xml:space="preserve">, however, </w:t>
      </w:r>
      <w:r w:rsidR="000E3A40" w:rsidRPr="00423B7D">
        <w:rPr>
          <w:rFonts w:ascii="Garamond" w:hAnsi="Garamond"/>
          <w:sz w:val="22"/>
          <w:szCs w:val="22"/>
        </w:rPr>
        <w:t xml:space="preserve">when further STB action </w:t>
      </w:r>
      <w:r w:rsidRPr="00423B7D">
        <w:rPr>
          <w:rFonts w:ascii="Garamond" w:hAnsi="Garamond"/>
          <w:sz w:val="22"/>
          <w:szCs w:val="22"/>
        </w:rPr>
        <w:t xml:space="preserve">via EP 722 </w:t>
      </w:r>
      <w:r w:rsidR="000E3A40" w:rsidRPr="00423B7D">
        <w:rPr>
          <w:rFonts w:ascii="Garamond" w:hAnsi="Garamond"/>
          <w:sz w:val="22"/>
          <w:szCs w:val="22"/>
        </w:rPr>
        <w:t>might occur.</w:t>
      </w:r>
      <w:bookmarkStart w:id="0" w:name="_GoBack"/>
      <w:bookmarkEnd w:id="0"/>
    </w:p>
    <w:sectPr w:rsidR="000F7A6E" w:rsidRPr="007B23E6" w:rsidSect="00423B7D">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585D5" w14:textId="77777777" w:rsidR="001F0B1A" w:rsidRDefault="001F0B1A" w:rsidP="000E38CE">
      <w:r>
        <w:separator/>
      </w:r>
    </w:p>
  </w:endnote>
  <w:endnote w:type="continuationSeparator" w:id="0">
    <w:p w14:paraId="29EDAA3F" w14:textId="77777777" w:rsidR="001F0B1A" w:rsidRDefault="001F0B1A" w:rsidP="000E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438930"/>
      <w:docPartObj>
        <w:docPartGallery w:val="Page Numbers (Bottom of Page)"/>
        <w:docPartUnique/>
      </w:docPartObj>
    </w:sdtPr>
    <w:sdtEndPr>
      <w:rPr>
        <w:rFonts w:ascii="Arial" w:hAnsi="Arial" w:cs="Arial"/>
        <w:noProof/>
        <w:sz w:val="20"/>
        <w:szCs w:val="20"/>
      </w:rPr>
    </w:sdtEndPr>
    <w:sdtContent>
      <w:p w14:paraId="57BBF67B" w14:textId="7287636E" w:rsidR="00A55078" w:rsidRPr="00A55078" w:rsidRDefault="00A55078">
        <w:pPr>
          <w:pStyle w:val="Footer"/>
          <w:rPr>
            <w:rFonts w:ascii="Arial" w:hAnsi="Arial" w:cs="Arial"/>
            <w:sz w:val="20"/>
            <w:szCs w:val="20"/>
          </w:rPr>
        </w:pPr>
        <w:r w:rsidRPr="00A55078">
          <w:rPr>
            <w:rFonts w:ascii="Arial" w:hAnsi="Arial" w:cs="Arial"/>
            <w:sz w:val="20"/>
            <w:szCs w:val="20"/>
          </w:rPr>
          <w:fldChar w:fldCharType="begin"/>
        </w:r>
        <w:r w:rsidRPr="00A55078">
          <w:rPr>
            <w:rFonts w:ascii="Arial" w:hAnsi="Arial" w:cs="Arial"/>
            <w:sz w:val="20"/>
            <w:szCs w:val="20"/>
          </w:rPr>
          <w:instrText xml:space="preserve"> PAGE   \* MERGEFORMAT </w:instrText>
        </w:r>
        <w:r w:rsidRPr="00A55078">
          <w:rPr>
            <w:rFonts w:ascii="Arial" w:hAnsi="Arial" w:cs="Arial"/>
            <w:sz w:val="20"/>
            <w:szCs w:val="20"/>
          </w:rPr>
          <w:fldChar w:fldCharType="separate"/>
        </w:r>
        <w:r w:rsidRPr="00A55078">
          <w:rPr>
            <w:rFonts w:ascii="Arial" w:hAnsi="Arial" w:cs="Arial"/>
            <w:noProof/>
            <w:sz w:val="20"/>
            <w:szCs w:val="20"/>
          </w:rPr>
          <w:t>2</w:t>
        </w:r>
        <w:r w:rsidRPr="00A55078">
          <w:rPr>
            <w:rFonts w:ascii="Arial" w:hAnsi="Arial" w:cs="Arial"/>
            <w:noProof/>
            <w:sz w:val="20"/>
            <w:szCs w:val="20"/>
          </w:rPr>
          <w:fldChar w:fldCharType="end"/>
        </w:r>
        <w:r>
          <w:rPr>
            <w:rFonts w:ascii="Arial" w:hAnsi="Arial" w:cs="Arial"/>
            <w:noProof/>
            <w:sz w:val="20"/>
            <w:szCs w:val="20"/>
          </w:rPr>
          <w:t xml:space="preserve">                                                                                                                                                     June 2018</w:t>
        </w:r>
      </w:p>
    </w:sdtContent>
  </w:sdt>
  <w:p w14:paraId="7A9C5E5D" w14:textId="64D0AE16" w:rsidR="00431AF8" w:rsidRPr="00214013" w:rsidRDefault="00431AF8" w:rsidP="007B23E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9A11" w14:textId="77777777" w:rsidR="001F0B1A" w:rsidRDefault="001F0B1A" w:rsidP="000E38CE">
      <w:r>
        <w:separator/>
      </w:r>
    </w:p>
  </w:footnote>
  <w:footnote w:type="continuationSeparator" w:id="0">
    <w:p w14:paraId="099BAA93" w14:textId="77777777" w:rsidR="001F0B1A" w:rsidRDefault="001F0B1A" w:rsidP="000E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0BB"/>
    <w:multiLevelType w:val="hybridMultilevel"/>
    <w:tmpl w:val="356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6ECA"/>
    <w:multiLevelType w:val="hybridMultilevel"/>
    <w:tmpl w:val="F330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091252"/>
    <w:multiLevelType w:val="hybridMultilevel"/>
    <w:tmpl w:val="0E3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9585E"/>
    <w:multiLevelType w:val="hybridMultilevel"/>
    <w:tmpl w:val="3718DD42"/>
    <w:lvl w:ilvl="0" w:tplc="89D4FBEC">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BB2183"/>
    <w:multiLevelType w:val="hybridMultilevel"/>
    <w:tmpl w:val="AE627C74"/>
    <w:lvl w:ilvl="0" w:tplc="4D0E80C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03556C"/>
    <w:multiLevelType w:val="hybridMultilevel"/>
    <w:tmpl w:val="8870A588"/>
    <w:lvl w:ilvl="0" w:tplc="19F654DA">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E8"/>
    <w:rsid w:val="000009A8"/>
    <w:rsid w:val="00020937"/>
    <w:rsid w:val="00024C98"/>
    <w:rsid w:val="000B293A"/>
    <w:rsid w:val="000D726D"/>
    <w:rsid w:val="000E0A85"/>
    <w:rsid w:val="000E38CE"/>
    <w:rsid w:val="000E3A40"/>
    <w:rsid w:val="000F2B75"/>
    <w:rsid w:val="000F7A6E"/>
    <w:rsid w:val="00126B81"/>
    <w:rsid w:val="001822E8"/>
    <w:rsid w:val="001D45A8"/>
    <w:rsid w:val="001F0B1A"/>
    <w:rsid w:val="00214013"/>
    <w:rsid w:val="00255756"/>
    <w:rsid w:val="002847F3"/>
    <w:rsid w:val="00284EC1"/>
    <w:rsid w:val="002B28A5"/>
    <w:rsid w:val="003237F6"/>
    <w:rsid w:val="003308B4"/>
    <w:rsid w:val="00377A20"/>
    <w:rsid w:val="0038629B"/>
    <w:rsid w:val="003E5B97"/>
    <w:rsid w:val="003F212C"/>
    <w:rsid w:val="0041386F"/>
    <w:rsid w:val="00423B7D"/>
    <w:rsid w:val="00426757"/>
    <w:rsid w:val="00431AF8"/>
    <w:rsid w:val="004857B1"/>
    <w:rsid w:val="004947F8"/>
    <w:rsid w:val="004C2036"/>
    <w:rsid w:val="00507385"/>
    <w:rsid w:val="005075E1"/>
    <w:rsid w:val="005111F9"/>
    <w:rsid w:val="00594C5D"/>
    <w:rsid w:val="005A1F25"/>
    <w:rsid w:val="005A2A9F"/>
    <w:rsid w:val="005B02AD"/>
    <w:rsid w:val="005E3084"/>
    <w:rsid w:val="006012EC"/>
    <w:rsid w:val="00652839"/>
    <w:rsid w:val="0067794B"/>
    <w:rsid w:val="0069436A"/>
    <w:rsid w:val="006A20C5"/>
    <w:rsid w:val="006A55E3"/>
    <w:rsid w:val="006E712C"/>
    <w:rsid w:val="00711A38"/>
    <w:rsid w:val="007135C4"/>
    <w:rsid w:val="007236CD"/>
    <w:rsid w:val="007263B4"/>
    <w:rsid w:val="00735F83"/>
    <w:rsid w:val="007477E1"/>
    <w:rsid w:val="00754277"/>
    <w:rsid w:val="00790A75"/>
    <w:rsid w:val="0079356B"/>
    <w:rsid w:val="007B23E6"/>
    <w:rsid w:val="007C51A6"/>
    <w:rsid w:val="007E1071"/>
    <w:rsid w:val="007F554C"/>
    <w:rsid w:val="00832674"/>
    <w:rsid w:val="008375E4"/>
    <w:rsid w:val="00852E1A"/>
    <w:rsid w:val="00864BF5"/>
    <w:rsid w:val="008A0185"/>
    <w:rsid w:val="008B1926"/>
    <w:rsid w:val="008D29D5"/>
    <w:rsid w:val="008E1661"/>
    <w:rsid w:val="008E6D07"/>
    <w:rsid w:val="00965CE7"/>
    <w:rsid w:val="00967335"/>
    <w:rsid w:val="00A3101D"/>
    <w:rsid w:val="00A41B2A"/>
    <w:rsid w:val="00A55078"/>
    <w:rsid w:val="00A71442"/>
    <w:rsid w:val="00A72860"/>
    <w:rsid w:val="00A75E97"/>
    <w:rsid w:val="00A76855"/>
    <w:rsid w:val="00A917F2"/>
    <w:rsid w:val="00A9622F"/>
    <w:rsid w:val="00AE20BA"/>
    <w:rsid w:val="00AF5A9D"/>
    <w:rsid w:val="00B01295"/>
    <w:rsid w:val="00B85A90"/>
    <w:rsid w:val="00BB4F65"/>
    <w:rsid w:val="00C304E1"/>
    <w:rsid w:val="00C33225"/>
    <w:rsid w:val="00C3366E"/>
    <w:rsid w:val="00C34467"/>
    <w:rsid w:val="00C35507"/>
    <w:rsid w:val="00C37DD9"/>
    <w:rsid w:val="00C7252B"/>
    <w:rsid w:val="00D068AE"/>
    <w:rsid w:val="00D15055"/>
    <w:rsid w:val="00D32C98"/>
    <w:rsid w:val="00D47095"/>
    <w:rsid w:val="00DB01CC"/>
    <w:rsid w:val="00DD01F3"/>
    <w:rsid w:val="00DD3743"/>
    <w:rsid w:val="00DF4496"/>
    <w:rsid w:val="00E16812"/>
    <w:rsid w:val="00E369A9"/>
    <w:rsid w:val="00E50572"/>
    <w:rsid w:val="00E74A11"/>
    <w:rsid w:val="00E77A2C"/>
    <w:rsid w:val="00E9329E"/>
    <w:rsid w:val="00EA4B3B"/>
    <w:rsid w:val="00EB386E"/>
    <w:rsid w:val="00EE6C79"/>
    <w:rsid w:val="00F1162D"/>
    <w:rsid w:val="00FC28A4"/>
    <w:rsid w:val="00FC7C83"/>
    <w:rsid w:val="00FD53F8"/>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54301"/>
  <w15:docId w15:val="{0ADC61BE-420A-4B88-9DD8-3F98DFBA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822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2E8"/>
    <w:rPr>
      <w:color w:val="0563C1"/>
      <w:u w:val="single"/>
    </w:rPr>
  </w:style>
  <w:style w:type="paragraph" w:styleId="ListParagraph">
    <w:name w:val="List Paragraph"/>
    <w:basedOn w:val="Normal"/>
    <w:uiPriority w:val="34"/>
    <w:qFormat/>
    <w:rsid w:val="001822E8"/>
    <w:pPr>
      <w:ind w:left="720"/>
    </w:pPr>
  </w:style>
  <w:style w:type="paragraph" w:styleId="BalloonText">
    <w:name w:val="Balloon Text"/>
    <w:basedOn w:val="Normal"/>
    <w:link w:val="BalloonTextChar"/>
    <w:uiPriority w:val="99"/>
    <w:semiHidden/>
    <w:unhideWhenUsed/>
    <w:rsid w:val="0072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CD"/>
    <w:rPr>
      <w:rFonts w:ascii="Segoe UI" w:hAnsi="Segoe UI" w:cs="Segoe UI"/>
      <w:sz w:val="18"/>
      <w:szCs w:val="18"/>
    </w:rPr>
  </w:style>
  <w:style w:type="paragraph" w:styleId="Header">
    <w:name w:val="header"/>
    <w:basedOn w:val="Normal"/>
    <w:link w:val="HeaderChar"/>
    <w:uiPriority w:val="99"/>
    <w:unhideWhenUsed/>
    <w:rsid w:val="000E38CE"/>
    <w:pPr>
      <w:tabs>
        <w:tab w:val="center" w:pos="4680"/>
        <w:tab w:val="right" w:pos="9360"/>
      </w:tabs>
    </w:pPr>
  </w:style>
  <w:style w:type="character" w:customStyle="1" w:styleId="HeaderChar">
    <w:name w:val="Header Char"/>
    <w:basedOn w:val="DefaultParagraphFont"/>
    <w:link w:val="Header"/>
    <w:uiPriority w:val="99"/>
    <w:rsid w:val="000E38CE"/>
    <w:rPr>
      <w:rFonts w:ascii="Calibri" w:hAnsi="Calibri" w:cs="Times New Roman"/>
    </w:rPr>
  </w:style>
  <w:style w:type="paragraph" w:styleId="Footer">
    <w:name w:val="footer"/>
    <w:basedOn w:val="Normal"/>
    <w:link w:val="FooterChar"/>
    <w:uiPriority w:val="99"/>
    <w:unhideWhenUsed/>
    <w:rsid w:val="000E38CE"/>
    <w:pPr>
      <w:tabs>
        <w:tab w:val="center" w:pos="4680"/>
        <w:tab w:val="right" w:pos="9360"/>
      </w:tabs>
    </w:pPr>
  </w:style>
  <w:style w:type="character" w:customStyle="1" w:styleId="FooterChar">
    <w:name w:val="Footer Char"/>
    <w:basedOn w:val="DefaultParagraphFont"/>
    <w:link w:val="Footer"/>
    <w:uiPriority w:val="99"/>
    <w:rsid w:val="000E38CE"/>
    <w:rPr>
      <w:rFonts w:ascii="Calibri" w:hAnsi="Calibri" w:cs="Times New Roman"/>
    </w:rPr>
  </w:style>
  <w:style w:type="paragraph" w:styleId="NoSpacing">
    <w:name w:val="No Spacing"/>
    <w:uiPriority w:val="1"/>
    <w:qFormat/>
    <w:rsid w:val="007E1071"/>
    <w:pPr>
      <w:spacing w:after="0" w:line="240" w:lineRule="auto"/>
    </w:pPr>
    <w:rPr>
      <w:sz w:val="24"/>
      <w:szCs w:val="24"/>
    </w:rPr>
  </w:style>
  <w:style w:type="paragraph" w:customStyle="1" w:styleId="Default">
    <w:name w:val="Default"/>
    <w:rsid w:val="000E3A4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77A2C"/>
    <w:rPr>
      <w:sz w:val="18"/>
      <w:szCs w:val="18"/>
    </w:rPr>
  </w:style>
  <w:style w:type="paragraph" w:styleId="CommentText">
    <w:name w:val="annotation text"/>
    <w:basedOn w:val="Normal"/>
    <w:link w:val="CommentTextChar"/>
    <w:uiPriority w:val="99"/>
    <w:semiHidden/>
    <w:unhideWhenUsed/>
    <w:rsid w:val="00E77A2C"/>
    <w:rPr>
      <w:sz w:val="24"/>
      <w:szCs w:val="24"/>
    </w:rPr>
  </w:style>
  <w:style w:type="character" w:customStyle="1" w:styleId="CommentTextChar">
    <w:name w:val="Comment Text Char"/>
    <w:basedOn w:val="DefaultParagraphFont"/>
    <w:link w:val="CommentText"/>
    <w:uiPriority w:val="99"/>
    <w:semiHidden/>
    <w:rsid w:val="00E77A2C"/>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77A2C"/>
    <w:rPr>
      <w:b/>
      <w:bCs/>
      <w:sz w:val="20"/>
      <w:szCs w:val="20"/>
    </w:rPr>
  </w:style>
  <w:style w:type="character" w:customStyle="1" w:styleId="CommentSubjectChar">
    <w:name w:val="Comment Subject Char"/>
    <w:basedOn w:val="CommentTextChar"/>
    <w:link w:val="CommentSubject"/>
    <w:uiPriority w:val="99"/>
    <w:semiHidden/>
    <w:rsid w:val="00E77A2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107">
      <w:bodyDiv w:val="1"/>
      <w:marLeft w:val="0"/>
      <w:marRight w:val="0"/>
      <w:marTop w:val="0"/>
      <w:marBottom w:val="0"/>
      <w:divBdr>
        <w:top w:val="none" w:sz="0" w:space="0" w:color="auto"/>
        <w:left w:val="none" w:sz="0" w:space="0" w:color="auto"/>
        <w:bottom w:val="none" w:sz="0" w:space="0" w:color="auto"/>
        <w:right w:val="none" w:sz="0" w:space="0" w:color="auto"/>
      </w:divBdr>
    </w:div>
    <w:div w:id="971405673">
      <w:bodyDiv w:val="1"/>
      <w:marLeft w:val="0"/>
      <w:marRight w:val="0"/>
      <w:marTop w:val="0"/>
      <w:marBottom w:val="0"/>
      <w:divBdr>
        <w:top w:val="none" w:sz="0" w:space="0" w:color="auto"/>
        <w:left w:val="none" w:sz="0" w:space="0" w:color="auto"/>
        <w:bottom w:val="none" w:sz="0" w:space="0" w:color="auto"/>
        <w:right w:val="none" w:sz="0" w:space="0" w:color="auto"/>
      </w:divBdr>
    </w:div>
    <w:div w:id="14783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gov/stb/docs/Reauthorization/Monthly%20Implementation%20Reports/U.S.%20Senate%20Committee%20on%20Commerce,%20Science%20and%20Transportation,%20March%2031,%202016.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Ann@annwarnerllc.com</cp:lastModifiedBy>
  <cp:revision>2</cp:revision>
  <cp:lastPrinted>2016-04-02T21:41:00Z</cp:lastPrinted>
  <dcterms:created xsi:type="dcterms:W3CDTF">2018-05-30T22:18:00Z</dcterms:created>
  <dcterms:modified xsi:type="dcterms:W3CDTF">2018-05-30T22:18:00Z</dcterms:modified>
</cp:coreProperties>
</file>