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F971" w14:textId="77777777" w:rsidR="00FD53F8" w:rsidRDefault="007F554C" w:rsidP="007C51A6">
      <w:pPr>
        <w:jc w:val="center"/>
        <w:rPr>
          <w:rFonts w:ascii="Garamond" w:hAnsi="Garamond"/>
          <w:b/>
          <w:sz w:val="28"/>
          <w:szCs w:val="28"/>
        </w:rPr>
      </w:pPr>
      <w:r>
        <w:rPr>
          <w:noProof/>
        </w:rPr>
        <w:drawing>
          <wp:inline distT="0" distB="0" distL="0" distR="0" wp14:anchorId="60881148" wp14:editId="5F0BE693">
            <wp:extent cx="3233420" cy="715645"/>
            <wp:effectExtent l="0" t="0" r="5080" b="8255"/>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E497.8017EA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715645"/>
                    </a:xfrm>
                    <a:prstGeom prst="rect">
                      <a:avLst/>
                    </a:prstGeom>
                    <a:noFill/>
                    <a:ln>
                      <a:noFill/>
                    </a:ln>
                  </pic:spPr>
                </pic:pic>
              </a:graphicData>
            </a:graphic>
          </wp:inline>
        </w:drawing>
      </w:r>
    </w:p>
    <w:p w14:paraId="7841260F" w14:textId="77777777" w:rsidR="00FD53F8" w:rsidRDefault="00FD53F8" w:rsidP="001822E8">
      <w:pPr>
        <w:jc w:val="center"/>
        <w:rPr>
          <w:rFonts w:ascii="Garamond" w:hAnsi="Garamond"/>
          <w:b/>
          <w:sz w:val="28"/>
          <w:szCs w:val="28"/>
        </w:rPr>
      </w:pPr>
    </w:p>
    <w:p w14:paraId="765E0E9F" w14:textId="77777777" w:rsidR="004C2036" w:rsidRDefault="007A0F79" w:rsidP="0014069D">
      <w:pPr>
        <w:jc w:val="center"/>
        <w:rPr>
          <w:rFonts w:ascii="Garamond" w:hAnsi="Garamond"/>
          <w:b/>
          <w:bCs/>
          <w:color w:val="0070C0"/>
          <w:sz w:val="24"/>
          <w:szCs w:val="24"/>
        </w:rPr>
      </w:pPr>
      <w:r>
        <w:rPr>
          <w:rFonts w:ascii="Garamond" w:hAnsi="Garamond"/>
          <w:b/>
          <w:sz w:val="28"/>
          <w:szCs w:val="28"/>
        </w:rPr>
        <w:t>Rate-Reasonableness Standards</w:t>
      </w:r>
    </w:p>
    <w:p w14:paraId="1163EFA9" w14:textId="77777777" w:rsidR="000B293A" w:rsidRPr="00377A20" w:rsidRDefault="000B293A" w:rsidP="00754277">
      <w:pPr>
        <w:rPr>
          <w:rFonts w:ascii="Garamond" w:hAnsi="Garamond"/>
          <w:b/>
          <w:bCs/>
          <w:color w:val="000000" w:themeColor="text1"/>
          <w:sz w:val="24"/>
          <w:szCs w:val="24"/>
        </w:rPr>
      </w:pPr>
    </w:p>
    <w:p w14:paraId="41EDF0A6" w14:textId="77777777" w:rsidR="0014069D" w:rsidRDefault="0014069D" w:rsidP="00754277">
      <w:pPr>
        <w:rPr>
          <w:rFonts w:ascii="Garamond" w:hAnsi="Garamond"/>
          <w:b/>
          <w:bCs/>
          <w:color w:val="5B9BD5" w:themeColor="accent1"/>
          <w:sz w:val="24"/>
          <w:szCs w:val="24"/>
        </w:rPr>
      </w:pPr>
    </w:p>
    <w:p w14:paraId="6035EA5E" w14:textId="77777777" w:rsidR="00754277" w:rsidRPr="007A0F79" w:rsidRDefault="00754277" w:rsidP="00754277">
      <w:pPr>
        <w:rPr>
          <w:rFonts w:ascii="Garamond" w:hAnsi="Garamond"/>
          <w:b/>
          <w:bCs/>
          <w:color w:val="5B9BD5" w:themeColor="accent1"/>
          <w:sz w:val="24"/>
          <w:szCs w:val="24"/>
        </w:rPr>
      </w:pPr>
      <w:r w:rsidRPr="007A0F79">
        <w:rPr>
          <w:rFonts w:ascii="Garamond" w:hAnsi="Garamond"/>
          <w:b/>
          <w:bCs/>
          <w:color w:val="5B9BD5" w:themeColor="accent1"/>
          <w:sz w:val="24"/>
          <w:szCs w:val="24"/>
        </w:rPr>
        <w:t>FRCA Position</w:t>
      </w:r>
      <w:r w:rsidR="004C2036" w:rsidRPr="007A0F79">
        <w:rPr>
          <w:rFonts w:ascii="Garamond" w:hAnsi="Garamond"/>
          <w:b/>
          <w:bCs/>
          <w:color w:val="5B9BD5" w:themeColor="accent1"/>
          <w:sz w:val="24"/>
          <w:szCs w:val="24"/>
        </w:rPr>
        <w:t xml:space="preserve"> </w:t>
      </w:r>
    </w:p>
    <w:p w14:paraId="0F6CFEBB" w14:textId="77777777" w:rsidR="00963D15" w:rsidRPr="00941E7D" w:rsidRDefault="00D31177" w:rsidP="00754277">
      <w:pPr>
        <w:rPr>
          <w:rFonts w:ascii="Garamond" w:hAnsi="Garamond"/>
          <w:bCs/>
          <w:color w:val="000000" w:themeColor="text1"/>
        </w:rPr>
      </w:pPr>
      <w:r w:rsidRPr="00941E7D">
        <w:rPr>
          <w:rFonts w:ascii="Garamond" w:hAnsi="Garamond"/>
          <w:bCs/>
          <w:color w:val="000000" w:themeColor="text1"/>
        </w:rPr>
        <w:t>The</w:t>
      </w:r>
      <w:r w:rsidR="0014069D" w:rsidRPr="00941E7D">
        <w:rPr>
          <w:rFonts w:ascii="Garamond" w:hAnsi="Garamond"/>
          <w:bCs/>
          <w:color w:val="000000" w:themeColor="text1"/>
        </w:rPr>
        <w:t xml:space="preserve"> </w:t>
      </w:r>
      <w:r w:rsidR="0014069D" w:rsidRPr="00941E7D">
        <w:rPr>
          <w:rFonts w:ascii="Garamond" w:hAnsi="Garamond"/>
          <w:b/>
          <w:bCs/>
          <w:i/>
          <w:color w:val="000000" w:themeColor="text1"/>
        </w:rPr>
        <w:t xml:space="preserve">Surface Transportation Board (STB) </w:t>
      </w:r>
      <w:r w:rsidR="00546D3C" w:rsidRPr="00941E7D">
        <w:rPr>
          <w:rFonts w:ascii="Garamond" w:hAnsi="Garamond"/>
          <w:b/>
          <w:bCs/>
          <w:i/>
          <w:color w:val="000000" w:themeColor="text1"/>
        </w:rPr>
        <w:t>Reauthorization</w:t>
      </w:r>
      <w:r w:rsidR="00456DB4" w:rsidRPr="00941E7D">
        <w:rPr>
          <w:rFonts w:ascii="Garamond" w:hAnsi="Garamond"/>
          <w:b/>
          <w:bCs/>
          <w:i/>
          <w:color w:val="000000" w:themeColor="text1"/>
        </w:rPr>
        <w:t xml:space="preserve"> Act of 201</w:t>
      </w:r>
      <w:r w:rsidR="0014069D" w:rsidRPr="00941E7D">
        <w:rPr>
          <w:rFonts w:ascii="Garamond" w:hAnsi="Garamond"/>
          <w:b/>
          <w:bCs/>
          <w:i/>
          <w:color w:val="000000" w:themeColor="text1"/>
        </w:rPr>
        <w:t>5</w:t>
      </w:r>
      <w:r w:rsidR="00963D15" w:rsidRPr="00941E7D">
        <w:rPr>
          <w:rFonts w:ascii="Garamond" w:hAnsi="Garamond"/>
          <w:b/>
          <w:bCs/>
          <w:i/>
          <w:color w:val="000000" w:themeColor="text1"/>
        </w:rPr>
        <w:t xml:space="preserve">, </w:t>
      </w:r>
      <w:r w:rsidR="00963D15" w:rsidRPr="00941E7D">
        <w:rPr>
          <w:rFonts w:ascii="Garamond" w:hAnsi="Garamond"/>
          <w:bCs/>
          <w:color w:val="000000" w:themeColor="text1"/>
        </w:rPr>
        <w:t>P.L. 114-110</w:t>
      </w:r>
      <w:r w:rsidR="009E4CF9">
        <w:rPr>
          <w:rFonts w:ascii="Garamond" w:hAnsi="Garamond"/>
          <w:bCs/>
          <w:color w:val="000000" w:themeColor="text1"/>
        </w:rPr>
        <w:t>,</w:t>
      </w:r>
      <w:r w:rsidR="00963D15" w:rsidRPr="00941E7D">
        <w:rPr>
          <w:rFonts w:ascii="Garamond" w:hAnsi="Garamond"/>
          <w:bCs/>
          <w:color w:val="000000" w:themeColor="text1"/>
        </w:rPr>
        <w:t xml:space="preserve"> </w:t>
      </w:r>
      <w:r w:rsidRPr="00941E7D">
        <w:rPr>
          <w:rFonts w:ascii="Garamond" w:hAnsi="Garamond"/>
          <w:bCs/>
          <w:color w:val="000000" w:themeColor="text1"/>
        </w:rPr>
        <w:t>d</w:t>
      </w:r>
      <w:r w:rsidR="0014069D" w:rsidRPr="00941E7D">
        <w:rPr>
          <w:rFonts w:ascii="Garamond" w:hAnsi="Garamond"/>
          <w:bCs/>
          <w:color w:val="000000" w:themeColor="text1"/>
        </w:rPr>
        <w:t>irect</w:t>
      </w:r>
      <w:r w:rsidR="00963D15" w:rsidRPr="00941E7D">
        <w:rPr>
          <w:rFonts w:ascii="Garamond" w:hAnsi="Garamond"/>
          <w:bCs/>
          <w:color w:val="000000" w:themeColor="text1"/>
        </w:rPr>
        <w:t xml:space="preserve">s </w:t>
      </w:r>
      <w:r w:rsidR="0014069D" w:rsidRPr="00941E7D">
        <w:rPr>
          <w:rFonts w:ascii="Garamond" w:hAnsi="Garamond"/>
          <w:bCs/>
          <w:color w:val="000000" w:themeColor="text1"/>
        </w:rPr>
        <w:t xml:space="preserve">the STB (or Board) </w:t>
      </w:r>
      <w:r w:rsidR="00A65898" w:rsidRPr="00941E7D">
        <w:rPr>
          <w:rFonts w:ascii="Garamond" w:hAnsi="Garamond"/>
          <w:bCs/>
          <w:color w:val="000000" w:themeColor="text1"/>
        </w:rPr>
        <w:t>to review its three t</w:t>
      </w:r>
      <w:r w:rsidR="00A053AE" w:rsidRPr="00941E7D">
        <w:rPr>
          <w:rFonts w:ascii="Garamond" w:hAnsi="Garamond"/>
          <w:bCs/>
          <w:color w:val="000000" w:themeColor="text1"/>
        </w:rPr>
        <w:t xml:space="preserve">ests </w:t>
      </w:r>
      <w:r w:rsidR="00963D15" w:rsidRPr="00941E7D">
        <w:rPr>
          <w:rFonts w:ascii="Garamond" w:hAnsi="Garamond"/>
          <w:bCs/>
          <w:color w:val="000000" w:themeColor="text1"/>
        </w:rPr>
        <w:t xml:space="preserve">used when evaluating if a railroad is charging a </w:t>
      </w:r>
      <w:r w:rsidR="00A65898" w:rsidRPr="00941E7D">
        <w:rPr>
          <w:rFonts w:ascii="Garamond" w:hAnsi="Garamond"/>
          <w:bCs/>
          <w:color w:val="000000" w:themeColor="text1"/>
        </w:rPr>
        <w:t>reasonable</w:t>
      </w:r>
      <w:r w:rsidR="00963D15" w:rsidRPr="00941E7D">
        <w:rPr>
          <w:rFonts w:ascii="Garamond" w:hAnsi="Garamond"/>
          <w:bCs/>
          <w:color w:val="000000" w:themeColor="text1"/>
        </w:rPr>
        <w:t xml:space="preserve"> rate for shipping goods or commodities when a rate is challenged before the Board</w:t>
      </w:r>
      <w:r w:rsidR="00920778" w:rsidRPr="00941E7D">
        <w:rPr>
          <w:rFonts w:ascii="Garamond" w:hAnsi="Garamond"/>
          <w:bCs/>
          <w:color w:val="000000" w:themeColor="text1"/>
        </w:rPr>
        <w:t>.</w:t>
      </w:r>
      <w:r w:rsidRPr="00941E7D">
        <w:rPr>
          <w:rFonts w:ascii="Garamond" w:hAnsi="Garamond"/>
          <w:bCs/>
          <w:color w:val="000000" w:themeColor="text1"/>
        </w:rPr>
        <w:t xml:space="preserve">  FRCA strongly supports this requirement.</w:t>
      </w:r>
    </w:p>
    <w:p w14:paraId="6374F298" w14:textId="77777777" w:rsidR="00963D15" w:rsidRPr="00941E7D" w:rsidRDefault="00963D15" w:rsidP="00754277">
      <w:pPr>
        <w:rPr>
          <w:rFonts w:ascii="Garamond" w:hAnsi="Garamond"/>
          <w:bCs/>
          <w:color w:val="000000" w:themeColor="text1"/>
        </w:rPr>
      </w:pPr>
    </w:p>
    <w:p w14:paraId="188BA6EF" w14:textId="77777777" w:rsidR="0014069D" w:rsidRPr="0014069D" w:rsidRDefault="00963D15" w:rsidP="00963D15">
      <w:pPr>
        <w:rPr>
          <w:rFonts w:ascii="Garamond" w:hAnsi="Garamond"/>
          <w:bCs/>
          <w:color w:val="000000" w:themeColor="text1"/>
        </w:rPr>
      </w:pPr>
      <w:r w:rsidRPr="00941E7D">
        <w:rPr>
          <w:rFonts w:ascii="Garamond" w:hAnsi="Garamond"/>
          <w:bCs/>
          <w:color w:val="000000" w:themeColor="text1"/>
        </w:rPr>
        <w:t xml:space="preserve">Moreover, FRCA supports the efforts of the STB to meet this requirement in its </w:t>
      </w:r>
      <w:r w:rsidR="009E4CF9">
        <w:rPr>
          <w:rFonts w:ascii="Garamond" w:hAnsi="Garamond"/>
          <w:bCs/>
          <w:color w:val="000000" w:themeColor="text1"/>
        </w:rPr>
        <w:t>Final Rule (FR</w:t>
      </w:r>
      <w:r w:rsidRPr="00941E7D">
        <w:rPr>
          <w:rFonts w:ascii="Garamond" w:hAnsi="Garamond" w:cstheme="minorBidi"/>
        </w:rPr>
        <w:t xml:space="preserve">), EP Docket No. 733, </w:t>
      </w:r>
      <w:r w:rsidR="00920778" w:rsidRPr="00941E7D">
        <w:rPr>
          <w:rFonts w:ascii="Garamond" w:hAnsi="Garamond" w:cstheme="minorBidi"/>
          <w:i/>
          <w:u w:val="single"/>
        </w:rPr>
        <w:t>Expediting Rate Cases</w:t>
      </w:r>
      <w:r w:rsidR="00920778" w:rsidRPr="00941E7D">
        <w:rPr>
          <w:rFonts w:ascii="Garamond" w:hAnsi="Garamond" w:cstheme="minorBidi"/>
        </w:rPr>
        <w:t xml:space="preserve"> and </w:t>
      </w:r>
      <w:r w:rsidR="009E4CF9">
        <w:rPr>
          <w:rFonts w:ascii="Garamond" w:hAnsi="Garamond" w:cstheme="minorBidi"/>
        </w:rPr>
        <w:t xml:space="preserve">a hopeful </w:t>
      </w:r>
      <w:r w:rsidR="00920778" w:rsidRPr="00941E7D">
        <w:rPr>
          <w:rFonts w:ascii="Garamond" w:hAnsi="Garamond" w:cstheme="minorBidi"/>
        </w:rPr>
        <w:t xml:space="preserve">future public hearing in EP Docket No. 736, </w:t>
      </w:r>
      <w:r w:rsidR="00920778" w:rsidRPr="00941E7D">
        <w:rPr>
          <w:rFonts w:ascii="Garamond" w:hAnsi="Garamond" w:cstheme="minorBidi"/>
          <w:i/>
          <w:u w:val="single"/>
        </w:rPr>
        <w:t>Intervistas Study</w:t>
      </w:r>
      <w:r w:rsidR="00920778" w:rsidRPr="00941E7D">
        <w:rPr>
          <w:rFonts w:ascii="Garamond" w:hAnsi="Garamond" w:cstheme="minorBidi"/>
        </w:rPr>
        <w:t>.</w:t>
      </w:r>
      <w:r w:rsidRPr="00920778">
        <w:rPr>
          <w:rFonts w:ascii="Garamond" w:hAnsi="Garamond"/>
          <w:bCs/>
          <w:color w:val="000000" w:themeColor="text1"/>
        </w:rPr>
        <w:t xml:space="preserve"> </w:t>
      </w:r>
    </w:p>
    <w:p w14:paraId="408FE003" w14:textId="77777777" w:rsidR="0014069D" w:rsidRPr="0014069D" w:rsidRDefault="0014069D" w:rsidP="00754277">
      <w:pPr>
        <w:rPr>
          <w:rFonts w:ascii="Garamond" w:hAnsi="Garamond"/>
          <w:bCs/>
          <w:color w:val="000000" w:themeColor="text1"/>
        </w:rPr>
      </w:pPr>
    </w:p>
    <w:p w14:paraId="6A91ADFA" w14:textId="77777777" w:rsidR="001F1A64" w:rsidRDefault="007E1071" w:rsidP="007A0F79">
      <w:pPr>
        <w:pStyle w:val="NoSpacing"/>
        <w:rPr>
          <w:rFonts w:ascii="Garamond" w:hAnsi="Garamond"/>
          <w:color w:val="484C53"/>
          <w:sz w:val="22"/>
          <w:szCs w:val="22"/>
        </w:rPr>
      </w:pPr>
      <w:r w:rsidRPr="0014069D">
        <w:rPr>
          <w:rFonts w:ascii="Garamond" w:hAnsi="Garamond"/>
          <w:b/>
          <w:color w:val="484C53"/>
        </w:rPr>
        <w:t>The Issue</w:t>
      </w:r>
      <w:r w:rsidRPr="0014069D">
        <w:rPr>
          <w:rFonts w:ascii="Garamond" w:hAnsi="Garamond"/>
          <w:b/>
          <w:color w:val="484C53"/>
        </w:rPr>
        <w:br/>
      </w:r>
      <w:r w:rsidR="00C04E09" w:rsidRPr="0014069D">
        <w:rPr>
          <w:rFonts w:ascii="Garamond" w:hAnsi="Garamond"/>
          <w:color w:val="484C53"/>
          <w:sz w:val="22"/>
          <w:szCs w:val="22"/>
        </w:rPr>
        <w:t xml:space="preserve">The STB has the </w:t>
      </w:r>
      <w:r w:rsidR="0014069D">
        <w:rPr>
          <w:rFonts w:ascii="Garamond" w:hAnsi="Garamond"/>
          <w:color w:val="484C53"/>
          <w:sz w:val="22"/>
          <w:szCs w:val="22"/>
        </w:rPr>
        <w:t xml:space="preserve">statutory </w:t>
      </w:r>
      <w:r w:rsidR="00C04E09" w:rsidRPr="0014069D">
        <w:rPr>
          <w:rFonts w:ascii="Garamond" w:hAnsi="Garamond"/>
          <w:color w:val="484C53"/>
          <w:sz w:val="22"/>
          <w:szCs w:val="22"/>
        </w:rPr>
        <w:t xml:space="preserve">authority </w:t>
      </w:r>
      <w:r w:rsidR="00A053AE">
        <w:rPr>
          <w:rFonts w:ascii="Garamond" w:hAnsi="Garamond"/>
          <w:color w:val="484C53"/>
          <w:sz w:val="22"/>
          <w:szCs w:val="22"/>
        </w:rPr>
        <w:t xml:space="preserve">and duty </w:t>
      </w:r>
      <w:r w:rsidR="00C04E09" w:rsidRPr="0014069D">
        <w:rPr>
          <w:rFonts w:ascii="Garamond" w:hAnsi="Garamond"/>
          <w:color w:val="484C53"/>
          <w:sz w:val="22"/>
          <w:szCs w:val="22"/>
        </w:rPr>
        <w:t xml:space="preserve">to review the reasonableness of rates and service terms for </w:t>
      </w:r>
      <w:r w:rsidR="00280D4F">
        <w:rPr>
          <w:rFonts w:ascii="Garamond" w:hAnsi="Garamond"/>
          <w:color w:val="484C53"/>
          <w:sz w:val="22"/>
          <w:szCs w:val="22"/>
        </w:rPr>
        <w:t>non-exempt</w:t>
      </w:r>
      <w:r w:rsidR="00C04E09" w:rsidRPr="0014069D">
        <w:rPr>
          <w:rFonts w:ascii="Garamond" w:hAnsi="Garamond"/>
          <w:color w:val="484C53"/>
          <w:sz w:val="22"/>
          <w:szCs w:val="22"/>
        </w:rPr>
        <w:t xml:space="preserve"> </w:t>
      </w:r>
      <w:r w:rsidR="00AF4FD8" w:rsidRPr="0014069D">
        <w:rPr>
          <w:rFonts w:ascii="Garamond" w:hAnsi="Garamond"/>
          <w:color w:val="484C53"/>
          <w:sz w:val="22"/>
          <w:szCs w:val="22"/>
        </w:rPr>
        <w:t xml:space="preserve">commodities if shipped </w:t>
      </w:r>
      <w:r w:rsidR="00280D4F">
        <w:rPr>
          <w:rFonts w:ascii="Garamond" w:hAnsi="Garamond"/>
          <w:color w:val="484C53"/>
          <w:sz w:val="22"/>
          <w:szCs w:val="22"/>
        </w:rPr>
        <w:t xml:space="preserve">under common </w:t>
      </w:r>
      <w:r w:rsidR="00AF4FD8" w:rsidRPr="0014069D">
        <w:rPr>
          <w:rFonts w:ascii="Garamond" w:hAnsi="Garamond"/>
          <w:color w:val="484C53"/>
          <w:sz w:val="22"/>
          <w:szCs w:val="22"/>
        </w:rPr>
        <w:t xml:space="preserve">tariff.  Under its </w:t>
      </w:r>
      <w:r w:rsidR="0014069D">
        <w:rPr>
          <w:rFonts w:ascii="Garamond" w:hAnsi="Garamond"/>
          <w:color w:val="484C53"/>
          <w:sz w:val="22"/>
          <w:szCs w:val="22"/>
        </w:rPr>
        <w:t xml:space="preserve">statutory </w:t>
      </w:r>
      <w:r w:rsidR="00AF4FD8" w:rsidRPr="0014069D">
        <w:rPr>
          <w:rFonts w:ascii="Garamond" w:hAnsi="Garamond"/>
          <w:color w:val="484C53"/>
          <w:sz w:val="22"/>
          <w:szCs w:val="22"/>
        </w:rPr>
        <w:t>authority, the STB considers the reasonabless of a challenged rate using its three tests, as chosen by the shipper</w:t>
      </w:r>
      <w:r w:rsidR="001F1A64">
        <w:rPr>
          <w:rFonts w:ascii="Garamond" w:hAnsi="Garamond"/>
          <w:color w:val="484C53"/>
          <w:sz w:val="22"/>
          <w:szCs w:val="22"/>
        </w:rPr>
        <w:t xml:space="preserve"> filing the rate complaint before the Board</w:t>
      </w:r>
      <w:r w:rsidR="00AF4FD8" w:rsidRPr="0014069D">
        <w:rPr>
          <w:rFonts w:ascii="Garamond" w:hAnsi="Garamond"/>
          <w:color w:val="484C53"/>
          <w:sz w:val="22"/>
          <w:szCs w:val="22"/>
        </w:rPr>
        <w:t>.</w:t>
      </w:r>
      <w:r w:rsidR="001F1A64">
        <w:rPr>
          <w:rFonts w:ascii="Garamond" w:hAnsi="Garamond"/>
          <w:color w:val="484C53"/>
          <w:sz w:val="22"/>
          <w:szCs w:val="22"/>
        </w:rPr>
        <w:t xml:space="preserve">  </w:t>
      </w:r>
    </w:p>
    <w:p w14:paraId="71CC3652" w14:textId="77777777" w:rsidR="001F1A64" w:rsidRDefault="001F1A64" w:rsidP="007A0F79">
      <w:pPr>
        <w:pStyle w:val="NoSpacing"/>
        <w:rPr>
          <w:rFonts w:ascii="Garamond" w:hAnsi="Garamond"/>
          <w:color w:val="484C53"/>
          <w:sz w:val="22"/>
          <w:szCs w:val="22"/>
        </w:rPr>
      </w:pPr>
    </w:p>
    <w:p w14:paraId="424CD436" w14:textId="77777777" w:rsidR="00AF4FD8" w:rsidRPr="0014069D" w:rsidRDefault="00AF4FD8" w:rsidP="007A0F79">
      <w:pPr>
        <w:pStyle w:val="NoSpacing"/>
        <w:rPr>
          <w:rFonts w:ascii="Garamond" w:hAnsi="Garamond"/>
          <w:color w:val="484C53"/>
          <w:sz w:val="22"/>
          <w:szCs w:val="22"/>
        </w:rPr>
      </w:pPr>
      <w:r w:rsidRPr="0014069D">
        <w:rPr>
          <w:rFonts w:ascii="Garamond" w:hAnsi="Garamond"/>
          <w:color w:val="484C53"/>
          <w:sz w:val="22"/>
          <w:szCs w:val="22"/>
        </w:rPr>
        <w:t>These tests are:</w:t>
      </w:r>
    </w:p>
    <w:p w14:paraId="1875EF2A" w14:textId="77777777" w:rsidR="00AF4FD8" w:rsidRDefault="00AF4FD8" w:rsidP="0014069D">
      <w:pPr>
        <w:pStyle w:val="NoSpacing"/>
        <w:numPr>
          <w:ilvl w:val="0"/>
          <w:numId w:val="8"/>
        </w:numPr>
        <w:rPr>
          <w:rFonts w:ascii="Garamond" w:hAnsi="Garamond"/>
          <w:color w:val="484C53"/>
          <w:sz w:val="22"/>
          <w:szCs w:val="22"/>
        </w:rPr>
      </w:pPr>
      <w:r w:rsidRPr="0014069D">
        <w:rPr>
          <w:rFonts w:ascii="Garamond" w:hAnsi="Garamond"/>
          <w:color w:val="484C53"/>
          <w:sz w:val="22"/>
          <w:szCs w:val="22"/>
        </w:rPr>
        <w:t>Stand-Alone Cost</w:t>
      </w:r>
      <w:r w:rsidR="00920778">
        <w:rPr>
          <w:rFonts w:ascii="Garamond" w:hAnsi="Garamond"/>
          <w:color w:val="484C53"/>
          <w:sz w:val="22"/>
          <w:szCs w:val="22"/>
        </w:rPr>
        <w:t xml:space="preserve"> (SAC)</w:t>
      </w:r>
      <w:r w:rsidRPr="0014069D">
        <w:rPr>
          <w:rFonts w:ascii="Garamond" w:hAnsi="Garamond"/>
          <w:color w:val="484C53"/>
          <w:sz w:val="22"/>
          <w:szCs w:val="22"/>
        </w:rPr>
        <w:t xml:space="preserve">, which requires the shipper to design a hypothetical railroad </w:t>
      </w:r>
      <w:r w:rsidR="007A0F79" w:rsidRPr="0014069D">
        <w:rPr>
          <w:rFonts w:ascii="Garamond" w:hAnsi="Garamond"/>
          <w:color w:val="484C53"/>
          <w:sz w:val="22"/>
          <w:szCs w:val="22"/>
        </w:rPr>
        <w:t>tailored</w:t>
      </w:r>
      <w:r w:rsidRPr="0014069D">
        <w:rPr>
          <w:rFonts w:ascii="Garamond" w:hAnsi="Garamond"/>
          <w:color w:val="484C53"/>
          <w:sz w:val="22"/>
          <w:szCs w:val="22"/>
        </w:rPr>
        <w:t xml:space="preserve"> to serve the specific route, to simulate the competitive rates that would exist in a </w:t>
      </w:r>
      <w:r w:rsidR="00280D4F">
        <w:rPr>
          <w:rFonts w:ascii="Garamond" w:hAnsi="Garamond"/>
          <w:color w:val="484C53"/>
          <w:sz w:val="22"/>
          <w:szCs w:val="22"/>
        </w:rPr>
        <w:t xml:space="preserve">competitive of contestable </w:t>
      </w:r>
      <w:r w:rsidRPr="0014069D">
        <w:rPr>
          <w:rFonts w:ascii="Garamond" w:hAnsi="Garamond"/>
          <w:color w:val="484C53"/>
          <w:sz w:val="22"/>
          <w:szCs w:val="22"/>
        </w:rPr>
        <w:t>network.</w:t>
      </w:r>
    </w:p>
    <w:p w14:paraId="7F64E609" w14:textId="77777777" w:rsidR="007031F4" w:rsidRPr="0014069D" w:rsidRDefault="007031F4" w:rsidP="007031F4">
      <w:pPr>
        <w:pStyle w:val="NoSpacing"/>
        <w:ind w:left="720"/>
        <w:rPr>
          <w:rFonts w:ascii="Garamond" w:hAnsi="Garamond"/>
          <w:color w:val="484C53"/>
          <w:sz w:val="22"/>
          <w:szCs w:val="22"/>
        </w:rPr>
      </w:pPr>
    </w:p>
    <w:p w14:paraId="5CD9E7EC" w14:textId="77777777" w:rsidR="00AF4FD8" w:rsidRDefault="00AF4FD8" w:rsidP="0014069D">
      <w:pPr>
        <w:pStyle w:val="NoSpacing"/>
        <w:numPr>
          <w:ilvl w:val="0"/>
          <w:numId w:val="8"/>
        </w:numPr>
        <w:rPr>
          <w:rFonts w:ascii="Garamond" w:hAnsi="Garamond"/>
          <w:color w:val="484C53"/>
          <w:sz w:val="22"/>
          <w:szCs w:val="22"/>
        </w:rPr>
      </w:pPr>
      <w:r w:rsidRPr="0014069D">
        <w:rPr>
          <w:rFonts w:ascii="Garamond" w:hAnsi="Garamond"/>
          <w:color w:val="484C53"/>
          <w:sz w:val="22"/>
          <w:szCs w:val="22"/>
        </w:rPr>
        <w:t xml:space="preserve">Simplified SAC, which eliminates or restricts the </w:t>
      </w:r>
      <w:r w:rsidR="00280D4F">
        <w:rPr>
          <w:rFonts w:ascii="Garamond" w:hAnsi="Garamond"/>
          <w:color w:val="484C53"/>
          <w:sz w:val="22"/>
          <w:szCs w:val="22"/>
        </w:rPr>
        <w:t xml:space="preserve">SAC </w:t>
      </w:r>
      <w:r w:rsidRPr="0014069D">
        <w:rPr>
          <w:rFonts w:ascii="Garamond" w:hAnsi="Garamond"/>
          <w:color w:val="484C53"/>
          <w:sz w:val="22"/>
          <w:szCs w:val="22"/>
        </w:rPr>
        <w:t>evidence parties can submit to the actual operations and services provided by the railroad</w:t>
      </w:r>
      <w:r w:rsidR="00280D4F">
        <w:rPr>
          <w:rFonts w:ascii="Garamond" w:hAnsi="Garamond"/>
          <w:color w:val="484C53"/>
          <w:sz w:val="22"/>
          <w:szCs w:val="22"/>
        </w:rPr>
        <w:t>, which is likely to result in higher rates than under the SAC test</w:t>
      </w:r>
      <w:r w:rsidR="007031F4">
        <w:rPr>
          <w:rFonts w:ascii="Garamond" w:hAnsi="Garamond"/>
          <w:color w:val="484C53"/>
          <w:sz w:val="22"/>
          <w:szCs w:val="22"/>
        </w:rPr>
        <w:t>.</w:t>
      </w:r>
    </w:p>
    <w:p w14:paraId="2EA31DEE" w14:textId="77777777" w:rsidR="007031F4" w:rsidRPr="0014069D" w:rsidRDefault="007031F4" w:rsidP="007031F4">
      <w:pPr>
        <w:pStyle w:val="NoSpacing"/>
        <w:rPr>
          <w:rFonts w:ascii="Garamond" w:hAnsi="Garamond"/>
          <w:color w:val="484C53"/>
          <w:sz w:val="22"/>
          <w:szCs w:val="22"/>
        </w:rPr>
      </w:pPr>
    </w:p>
    <w:p w14:paraId="42BFFB18" w14:textId="77777777" w:rsidR="00AF4FD8" w:rsidRPr="0014069D" w:rsidRDefault="00AF4FD8" w:rsidP="0014069D">
      <w:pPr>
        <w:pStyle w:val="NoSpacing"/>
        <w:numPr>
          <w:ilvl w:val="0"/>
          <w:numId w:val="8"/>
        </w:numPr>
        <w:rPr>
          <w:rFonts w:ascii="Garamond" w:hAnsi="Garamond"/>
          <w:color w:val="484C53"/>
          <w:sz w:val="22"/>
          <w:szCs w:val="22"/>
        </w:rPr>
      </w:pPr>
      <w:r w:rsidRPr="0014069D">
        <w:rPr>
          <w:rFonts w:ascii="Garamond" w:hAnsi="Garamond"/>
          <w:color w:val="484C53"/>
          <w:sz w:val="22"/>
          <w:szCs w:val="22"/>
        </w:rPr>
        <w:t xml:space="preserve">Three </w:t>
      </w:r>
      <w:r w:rsidR="007A0F79" w:rsidRPr="0014069D">
        <w:rPr>
          <w:rFonts w:ascii="Garamond" w:hAnsi="Garamond"/>
          <w:color w:val="484C53"/>
          <w:sz w:val="22"/>
          <w:szCs w:val="22"/>
        </w:rPr>
        <w:t>Benchmark</w:t>
      </w:r>
      <w:r w:rsidRPr="0014069D">
        <w:rPr>
          <w:rFonts w:ascii="Garamond" w:hAnsi="Garamond"/>
          <w:color w:val="484C53"/>
          <w:sz w:val="22"/>
          <w:szCs w:val="22"/>
        </w:rPr>
        <w:t xml:space="preserve">, under which the STB </w:t>
      </w:r>
      <w:r w:rsidR="007A0F79" w:rsidRPr="0014069D">
        <w:rPr>
          <w:rFonts w:ascii="Garamond" w:hAnsi="Garamond"/>
          <w:color w:val="484C53"/>
          <w:sz w:val="22"/>
          <w:szCs w:val="22"/>
        </w:rPr>
        <w:t>determines</w:t>
      </w:r>
      <w:r w:rsidRPr="0014069D">
        <w:rPr>
          <w:rFonts w:ascii="Garamond" w:hAnsi="Garamond"/>
          <w:color w:val="484C53"/>
          <w:sz w:val="22"/>
          <w:szCs w:val="22"/>
        </w:rPr>
        <w:t xml:space="preserve"> the reasonableness of a challenged rate by examining three </w:t>
      </w:r>
      <w:r w:rsidR="007A0F79" w:rsidRPr="0014069D">
        <w:rPr>
          <w:rFonts w:ascii="Garamond" w:hAnsi="Garamond"/>
          <w:color w:val="484C53"/>
          <w:sz w:val="22"/>
          <w:szCs w:val="22"/>
        </w:rPr>
        <w:t>benchmarks</w:t>
      </w:r>
      <w:r w:rsidRPr="0014069D">
        <w:rPr>
          <w:rFonts w:ascii="Garamond" w:hAnsi="Garamond"/>
          <w:color w:val="484C53"/>
          <w:sz w:val="22"/>
          <w:szCs w:val="22"/>
        </w:rPr>
        <w:t xml:space="preserve">, or tests, that assess rate </w:t>
      </w:r>
      <w:r w:rsidR="007A0F79" w:rsidRPr="0014069D">
        <w:rPr>
          <w:rFonts w:ascii="Garamond" w:hAnsi="Garamond"/>
          <w:color w:val="484C53"/>
          <w:sz w:val="22"/>
          <w:szCs w:val="22"/>
        </w:rPr>
        <w:t>markups</w:t>
      </w:r>
      <w:r w:rsidR="00280D4F">
        <w:rPr>
          <w:rFonts w:ascii="Garamond" w:hAnsi="Garamond"/>
          <w:color w:val="484C53"/>
          <w:sz w:val="22"/>
          <w:szCs w:val="22"/>
        </w:rPr>
        <w:t xml:space="preserve"> of revenues to variable costs</w:t>
      </w:r>
      <w:r w:rsidRPr="0014069D">
        <w:rPr>
          <w:rFonts w:ascii="Garamond" w:hAnsi="Garamond"/>
          <w:color w:val="484C53"/>
          <w:sz w:val="22"/>
          <w:szCs w:val="22"/>
        </w:rPr>
        <w:t>.</w:t>
      </w:r>
    </w:p>
    <w:p w14:paraId="5A109412" w14:textId="77777777" w:rsidR="00AF4FD8" w:rsidRPr="0014069D" w:rsidRDefault="00AF4FD8" w:rsidP="0014069D">
      <w:pPr>
        <w:pStyle w:val="NoSpacing"/>
        <w:ind w:left="720"/>
        <w:rPr>
          <w:rFonts w:ascii="Garamond" w:hAnsi="Garamond"/>
          <w:color w:val="484C53"/>
          <w:sz w:val="22"/>
          <w:szCs w:val="22"/>
        </w:rPr>
      </w:pPr>
    </w:p>
    <w:p w14:paraId="490D53E6" w14:textId="77777777" w:rsidR="00963D15" w:rsidRDefault="00963D15" w:rsidP="00963D15">
      <w:pPr>
        <w:rPr>
          <w:rFonts w:ascii="Garamond" w:hAnsi="Garamond"/>
          <w:bCs/>
          <w:color w:val="000000" w:themeColor="text1"/>
        </w:rPr>
      </w:pPr>
      <w:r>
        <w:rPr>
          <w:rFonts w:ascii="Garamond" w:hAnsi="Garamond"/>
          <w:bCs/>
          <w:color w:val="000000" w:themeColor="text1"/>
        </w:rPr>
        <w:t>FRCA, along wi</w:t>
      </w:r>
      <w:r w:rsidR="00920778">
        <w:rPr>
          <w:rFonts w:ascii="Garamond" w:hAnsi="Garamond"/>
          <w:bCs/>
          <w:color w:val="000000" w:themeColor="text1"/>
        </w:rPr>
        <w:t xml:space="preserve">th other shipper groups and </w:t>
      </w:r>
      <w:r w:rsidR="00D31177">
        <w:rPr>
          <w:rFonts w:ascii="Garamond" w:hAnsi="Garamond"/>
          <w:bCs/>
          <w:color w:val="000000" w:themeColor="text1"/>
        </w:rPr>
        <w:t xml:space="preserve">other </w:t>
      </w:r>
      <w:r>
        <w:rPr>
          <w:rFonts w:ascii="Garamond" w:hAnsi="Garamond"/>
          <w:bCs/>
          <w:color w:val="000000" w:themeColor="text1"/>
        </w:rPr>
        <w:t xml:space="preserve">stakeholders, </w:t>
      </w:r>
      <w:r w:rsidR="00D31177">
        <w:rPr>
          <w:rFonts w:ascii="Garamond" w:hAnsi="Garamond"/>
          <w:bCs/>
          <w:color w:val="000000" w:themeColor="text1"/>
        </w:rPr>
        <w:t xml:space="preserve">have </w:t>
      </w:r>
      <w:r>
        <w:rPr>
          <w:rFonts w:ascii="Garamond" w:hAnsi="Garamond"/>
          <w:bCs/>
          <w:color w:val="000000" w:themeColor="text1"/>
        </w:rPr>
        <w:t>significant concerns involv</w:t>
      </w:r>
      <w:r w:rsidR="00920778">
        <w:rPr>
          <w:rFonts w:ascii="Garamond" w:hAnsi="Garamond"/>
          <w:bCs/>
          <w:color w:val="000000" w:themeColor="text1"/>
        </w:rPr>
        <w:t xml:space="preserve">ing </w:t>
      </w:r>
      <w:r w:rsidRPr="0014069D">
        <w:rPr>
          <w:rFonts w:ascii="Garamond" w:hAnsi="Garamond"/>
          <w:bCs/>
          <w:color w:val="000000" w:themeColor="text1"/>
        </w:rPr>
        <w:t>not only the cost and length o</w:t>
      </w:r>
      <w:r>
        <w:rPr>
          <w:rFonts w:ascii="Garamond" w:hAnsi="Garamond"/>
          <w:bCs/>
          <w:color w:val="000000" w:themeColor="text1"/>
        </w:rPr>
        <w:t>f STB reviews of challenged rate</w:t>
      </w:r>
      <w:r w:rsidRPr="0014069D">
        <w:rPr>
          <w:rFonts w:ascii="Garamond" w:hAnsi="Garamond"/>
          <w:bCs/>
          <w:color w:val="000000" w:themeColor="text1"/>
        </w:rPr>
        <w:t xml:space="preserve"> rates, but also the fundamental principles on which</w:t>
      </w:r>
      <w:r>
        <w:rPr>
          <w:rFonts w:ascii="Garamond" w:hAnsi="Garamond"/>
          <w:bCs/>
          <w:color w:val="000000" w:themeColor="text1"/>
        </w:rPr>
        <w:t xml:space="preserve"> each</w:t>
      </w:r>
      <w:r w:rsidRPr="0014069D">
        <w:rPr>
          <w:rFonts w:ascii="Garamond" w:hAnsi="Garamond"/>
          <w:bCs/>
          <w:color w:val="000000" w:themeColor="text1"/>
        </w:rPr>
        <w:t xml:space="preserve"> method is based</w:t>
      </w:r>
      <w:r>
        <w:rPr>
          <w:rFonts w:ascii="Garamond" w:hAnsi="Garamond"/>
          <w:bCs/>
          <w:color w:val="000000" w:themeColor="text1"/>
        </w:rPr>
        <w:t>:</w:t>
      </w:r>
    </w:p>
    <w:p w14:paraId="1F5884D6" w14:textId="77777777" w:rsidR="00963D15" w:rsidRDefault="00963D15" w:rsidP="00963D15">
      <w:pPr>
        <w:rPr>
          <w:rFonts w:ascii="Garamond" w:hAnsi="Garamond"/>
          <w:bCs/>
          <w:color w:val="000000" w:themeColor="text1"/>
        </w:rPr>
      </w:pPr>
    </w:p>
    <w:p w14:paraId="21ECB6E6" w14:textId="77777777" w:rsidR="00963D15" w:rsidRPr="0014069D" w:rsidRDefault="00963D15" w:rsidP="00963D15">
      <w:pPr>
        <w:pStyle w:val="ListParagraph"/>
        <w:numPr>
          <w:ilvl w:val="0"/>
          <w:numId w:val="9"/>
        </w:numPr>
        <w:rPr>
          <w:rFonts w:ascii="Garamond" w:hAnsi="Garamond"/>
          <w:bCs/>
          <w:color w:val="000000" w:themeColor="text1"/>
        </w:rPr>
      </w:pPr>
      <w:r w:rsidRPr="0014069D">
        <w:rPr>
          <w:rFonts w:ascii="Garamond" w:hAnsi="Garamond"/>
          <w:bCs/>
          <w:color w:val="000000" w:themeColor="text1"/>
        </w:rPr>
        <w:t xml:space="preserve">The SAC </w:t>
      </w:r>
      <w:r>
        <w:rPr>
          <w:rFonts w:ascii="Garamond" w:hAnsi="Garamond"/>
          <w:bCs/>
          <w:color w:val="000000" w:themeColor="text1"/>
        </w:rPr>
        <w:t xml:space="preserve">method entails an increasingly complicated and arbitrary </w:t>
      </w:r>
      <w:r w:rsidRPr="0014069D">
        <w:rPr>
          <w:rFonts w:ascii="Garamond" w:hAnsi="Garamond"/>
          <w:bCs/>
          <w:color w:val="000000" w:themeColor="text1"/>
        </w:rPr>
        <w:t xml:space="preserve">comparison </w:t>
      </w:r>
      <w:r>
        <w:rPr>
          <w:rFonts w:ascii="Garamond" w:hAnsi="Garamond"/>
          <w:bCs/>
          <w:color w:val="000000" w:themeColor="text1"/>
        </w:rPr>
        <w:t>of the railroad’s actual rates with those that would be charged by a hypothetical railroad replacement</w:t>
      </w:r>
      <w:r w:rsidRPr="0014069D">
        <w:rPr>
          <w:rFonts w:ascii="Garamond" w:hAnsi="Garamond"/>
          <w:bCs/>
          <w:color w:val="000000" w:themeColor="text1"/>
        </w:rPr>
        <w:t xml:space="preserve">.  </w:t>
      </w:r>
    </w:p>
    <w:p w14:paraId="11314F07" w14:textId="77777777" w:rsidR="00963D15" w:rsidRDefault="00963D15" w:rsidP="00963D15">
      <w:pPr>
        <w:rPr>
          <w:rFonts w:ascii="Garamond" w:hAnsi="Garamond"/>
          <w:bCs/>
          <w:color w:val="000000" w:themeColor="text1"/>
        </w:rPr>
      </w:pPr>
    </w:p>
    <w:p w14:paraId="2BB17F3C" w14:textId="77777777" w:rsidR="00963D15" w:rsidRPr="00A053AE" w:rsidRDefault="00963D15" w:rsidP="00963D15">
      <w:pPr>
        <w:pStyle w:val="ListParagraph"/>
        <w:numPr>
          <w:ilvl w:val="0"/>
          <w:numId w:val="9"/>
        </w:numPr>
        <w:rPr>
          <w:rFonts w:ascii="Garamond" w:hAnsi="Garamond"/>
          <w:bCs/>
          <w:color w:val="000000" w:themeColor="text1"/>
        </w:rPr>
      </w:pPr>
      <w:r w:rsidRPr="0014069D">
        <w:rPr>
          <w:rFonts w:ascii="Garamond" w:hAnsi="Garamond"/>
          <w:bCs/>
          <w:color w:val="000000" w:themeColor="text1"/>
        </w:rPr>
        <w:t xml:space="preserve">The Simplified SAC method </w:t>
      </w:r>
      <w:r>
        <w:rPr>
          <w:rFonts w:ascii="Garamond" w:hAnsi="Garamond"/>
          <w:bCs/>
          <w:color w:val="000000" w:themeColor="text1"/>
        </w:rPr>
        <w:t xml:space="preserve">involves a simplified application of SAC principles, but </w:t>
      </w:r>
      <w:r w:rsidRPr="00A053AE">
        <w:rPr>
          <w:rFonts w:ascii="Garamond" w:hAnsi="Garamond"/>
          <w:bCs/>
          <w:color w:val="000000" w:themeColor="text1"/>
        </w:rPr>
        <w:t xml:space="preserve">has yet to be used for a completed STB </w:t>
      </w:r>
      <w:r>
        <w:rPr>
          <w:rFonts w:ascii="Garamond" w:hAnsi="Garamond"/>
          <w:bCs/>
          <w:color w:val="000000" w:themeColor="text1"/>
        </w:rPr>
        <w:t xml:space="preserve">rate </w:t>
      </w:r>
      <w:r w:rsidRPr="00A053AE">
        <w:rPr>
          <w:rFonts w:ascii="Garamond" w:hAnsi="Garamond"/>
          <w:bCs/>
          <w:color w:val="000000" w:themeColor="text1"/>
        </w:rPr>
        <w:t xml:space="preserve">review.  </w:t>
      </w:r>
    </w:p>
    <w:p w14:paraId="536AE368" w14:textId="77777777" w:rsidR="00963D15" w:rsidRDefault="00963D15" w:rsidP="00963D15">
      <w:pPr>
        <w:rPr>
          <w:rFonts w:ascii="Garamond" w:hAnsi="Garamond"/>
          <w:bCs/>
          <w:color w:val="000000" w:themeColor="text1"/>
        </w:rPr>
      </w:pPr>
    </w:p>
    <w:p w14:paraId="46A2F8FA" w14:textId="77777777" w:rsidR="00963D15" w:rsidRPr="0014069D" w:rsidRDefault="00963D15" w:rsidP="00963D15">
      <w:pPr>
        <w:pStyle w:val="ListParagraph"/>
        <w:numPr>
          <w:ilvl w:val="0"/>
          <w:numId w:val="9"/>
        </w:numPr>
        <w:rPr>
          <w:rFonts w:ascii="Garamond" w:hAnsi="Garamond"/>
          <w:bCs/>
          <w:color w:val="000000" w:themeColor="text1"/>
        </w:rPr>
      </w:pPr>
      <w:r>
        <w:rPr>
          <w:rFonts w:ascii="Garamond" w:hAnsi="Garamond"/>
          <w:bCs/>
          <w:color w:val="000000" w:themeColor="text1"/>
        </w:rPr>
        <w:t xml:space="preserve">The </w:t>
      </w:r>
      <w:r w:rsidRPr="0014069D">
        <w:rPr>
          <w:rFonts w:ascii="Garamond" w:hAnsi="Garamond"/>
          <w:bCs/>
          <w:color w:val="000000" w:themeColor="text1"/>
        </w:rPr>
        <w:t>Three-Benchmark</w:t>
      </w:r>
      <w:r>
        <w:rPr>
          <w:rFonts w:ascii="Garamond" w:hAnsi="Garamond"/>
          <w:bCs/>
          <w:color w:val="000000" w:themeColor="text1"/>
        </w:rPr>
        <w:t xml:space="preserve"> method</w:t>
      </w:r>
      <w:r w:rsidRPr="0014069D">
        <w:rPr>
          <w:rFonts w:ascii="Garamond" w:hAnsi="Garamond"/>
          <w:bCs/>
          <w:color w:val="000000" w:themeColor="text1"/>
        </w:rPr>
        <w:t xml:space="preserve"> </w:t>
      </w:r>
      <w:r>
        <w:rPr>
          <w:rFonts w:ascii="Garamond" w:hAnsi="Garamond"/>
          <w:bCs/>
          <w:color w:val="000000" w:themeColor="text1"/>
        </w:rPr>
        <w:t>tests the shipper’s rates against a combination of three benchmarks of revenues to variable cost ratios; those ratios are subject to bias both individually and collectively</w:t>
      </w:r>
      <w:r w:rsidRPr="0014069D">
        <w:rPr>
          <w:rFonts w:ascii="Garamond" w:hAnsi="Garamond"/>
          <w:bCs/>
          <w:color w:val="000000" w:themeColor="text1"/>
        </w:rPr>
        <w:t>.</w:t>
      </w:r>
    </w:p>
    <w:p w14:paraId="753673BF" w14:textId="77777777" w:rsidR="00963D15" w:rsidRPr="007A0F79" w:rsidRDefault="00963D15" w:rsidP="00963D15">
      <w:pPr>
        <w:pStyle w:val="NoSpacing"/>
        <w:rPr>
          <w:rFonts w:ascii="Garamond" w:hAnsi="Garamond"/>
          <w:b/>
        </w:rPr>
      </w:pPr>
    </w:p>
    <w:p w14:paraId="450359ED" w14:textId="77777777" w:rsidR="00612B24" w:rsidRPr="0014069D" w:rsidRDefault="00612B24" w:rsidP="007A0F79">
      <w:pPr>
        <w:pStyle w:val="NoSpacing"/>
        <w:rPr>
          <w:rFonts w:ascii="Garamond" w:hAnsi="Garamond"/>
          <w:color w:val="484C53"/>
          <w:sz w:val="22"/>
          <w:szCs w:val="22"/>
        </w:rPr>
      </w:pPr>
      <w:r w:rsidRPr="0014069D">
        <w:rPr>
          <w:rFonts w:ascii="Garamond" w:hAnsi="Garamond"/>
          <w:color w:val="484C53"/>
          <w:sz w:val="22"/>
          <w:szCs w:val="22"/>
        </w:rPr>
        <w:lastRenderedPageBreak/>
        <w:t xml:space="preserve">The tests have been the subject of several recent studies, including </w:t>
      </w:r>
      <w:r w:rsidR="007A0F79" w:rsidRPr="0014069D">
        <w:rPr>
          <w:rFonts w:ascii="Garamond" w:hAnsi="Garamond"/>
          <w:color w:val="484C53"/>
          <w:sz w:val="22"/>
          <w:szCs w:val="22"/>
        </w:rPr>
        <w:t xml:space="preserve">a 2016 </w:t>
      </w:r>
      <w:r w:rsidRPr="0014069D">
        <w:rPr>
          <w:rFonts w:ascii="Garamond" w:hAnsi="Garamond"/>
          <w:color w:val="484C53"/>
          <w:sz w:val="22"/>
          <w:szCs w:val="22"/>
        </w:rPr>
        <w:t>STB-co</w:t>
      </w:r>
      <w:r w:rsidR="007A0F79" w:rsidRPr="0014069D">
        <w:rPr>
          <w:rFonts w:ascii="Garamond" w:hAnsi="Garamond"/>
          <w:color w:val="484C53"/>
          <w:sz w:val="22"/>
          <w:szCs w:val="22"/>
        </w:rPr>
        <w:t xml:space="preserve">mmissioned study </w:t>
      </w:r>
      <w:r w:rsidR="001F1A64">
        <w:rPr>
          <w:rFonts w:ascii="Garamond" w:hAnsi="Garamond"/>
          <w:color w:val="484C53"/>
          <w:sz w:val="22"/>
          <w:szCs w:val="22"/>
        </w:rPr>
        <w:t xml:space="preserve">conducted </w:t>
      </w:r>
      <w:r w:rsidR="007A0F79" w:rsidRPr="0014069D">
        <w:rPr>
          <w:rFonts w:ascii="Garamond" w:hAnsi="Garamond"/>
          <w:color w:val="484C53"/>
          <w:sz w:val="22"/>
          <w:szCs w:val="22"/>
        </w:rPr>
        <w:t>by</w:t>
      </w:r>
      <w:r w:rsidR="001F1A64">
        <w:rPr>
          <w:rFonts w:ascii="Garamond" w:hAnsi="Garamond"/>
          <w:color w:val="484C53"/>
          <w:sz w:val="22"/>
          <w:szCs w:val="22"/>
        </w:rPr>
        <w:t xml:space="preserve"> the consulting firm,</w:t>
      </w:r>
      <w:r w:rsidR="007A0F79" w:rsidRPr="0014069D">
        <w:rPr>
          <w:rFonts w:ascii="Garamond" w:hAnsi="Garamond"/>
          <w:color w:val="484C53"/>
          <w:sz w:val="22"/>
          <w:szCs w:val="22"/>
        </w:rPr>
        <w:t xml:space="preserve"> InterVISTAS</w:t>
      </w:r>
      <w:r w:rsidR="001F1A64">
        <w:rPr>
          <w:rFonts w:ascii="Garamond" w:hAnsi="Garamond"/>
          <w:color w:val="484C53"/>
          <w:sz w:val="22"/>
          <w:szCs w:val="22"/>
        </w:rPr>
        <w:t>,</w:t>
      </w:r>
      <w:r w:rsidR="007A0F79" w:rsidRPr="0014069D">
        <w:rPr>
          <w:rFonts w:ascii="Garamond" w:hAnsi="Garamond"/>
          <w:color w:val="484C53"/>
          <w:sz w:val="22"/>
          <w:szCs w:val="22"/>
        </w:rPr>
        <w:t xml:space="preserve"> and a 2015 report by the Transportation Research Board </w:t>
      </w:r>
      <w:r w:rsidR="00086B8B">
        <w:rPr>
          <w:rFonts w:ascii="Garamond" w:hAnsi="Garamond"/>
          <w:color w:val="484C53"/>
          <w:sz w:val="22"/>
          <w:szCs w:val="22"/>
        </w:rPr>
        <w:t xml:space="preserve">(TRB) </w:t>
      </w:r>
      <w:r w:rsidR="007A0F79" w:rsidRPr="0014069D">
        <w:rPr>
          <w:rFonts w:ascii="Garamond" w:hAnsi="Garamond"/>
          <w:color w:val="484C53"/>
          <w:sz w:val="22"/>
          <w:szCs w:val="22"/>
        </w:rPr>
        <w:t>of the National Academy of Sciences</w:t>
      </w:r>
      <w:r w:rsidR="00086B8B">
        <w:rPr>
          <w:rFonts w:ascii="Garamond" w:hAnsi="Garamond"/>
          <w:color w:val="484C53"/>
          <w:sz w:val="22"/>
          <w:szCs w:val="22"/>
        </w:rPr>
        <w:t xml:space="preserve">, </w:t>
      </w:r>
      <w:r w:rsidR="00086B8B">
        <w:rPr>
          <w:rFonts w:ascii="Garamond" w:hAnsi="Garamond" w:cs="Arial"/>
          <w:bCs/>
          <w:sz w:val="22"/>
          <w:szCs w:val="22"/>
        </w:rPr>
        <w:t>“</w:t>
      </w:r>
      <w:r w:rsidR="00086B8B" w:rsidRPr="00086B8B">
        <w:rPr>
          <w:rFonts w:ascii="Garamond" w:hAnsi="Garamond" w:cs="Arial"/>
          <w:b/>
          <w:bCs/>
          <w:i/>
          <w:sz w:val="22"/>
          <w:szCs w:val="22"/>
        </w:rPr>
        <w:t>Modernizing Freight Rail Regulation</w:t>
      </w:r>
      <w:r w:rsidR="00086B8B">
        <w:rPr>
          <w:rFonts w:ascii="Garamond" w:hAnsi="Garamond" w:cs="Arial"/>
          <w:bCs/>
          <w:sz w:val="22"/>
          <w:szCs w:val="22"/>
        </w:rPr>
        <w:t>”</w:t>
      </w:r>
      <w:r w:rsidR="007A0F79" w:rsidRPr="0014069D">
        <w:rPr>
          <w:rFonts w:ascii="Garamond" w:hAnsi="Garamond"/>
          <w:color w:val="484C53"/>
          <w:sz w:val="22"/>
          <w:szCs w:val="22"/>
        </w:rPr>
        <w:t>.</w:t>
      </w:r>
    </w:p>
    <w:p w14:paraId="2C9DB689" w14:textId="77777777" w:rsidR="007A0F79" w:rsidRPr="007A0F79" w:rsidRDefault="007A0F79" w:rsidP="007A0F79">
      <w:pPr>
        <w:pStyle w:val="NoSpacing"/>
        <w:rPr>
          <w:rFonts w:ascii="Garamond" w:hAnsi="Garamond"/>
          <w:color w:val="484C53"/>
        </w:rPr>
      </w:pPr>
    </w:p>
    <w:p w14:paraId="39706CA7" w14:textId="77777777" w:rsidR="007A0F79" w:rsidRPr="00A73FFC" w:rsidRDefault="007A0F79" w:rsidP="007A0F79">
      <w:pPr>
        <w:pStyle w:val="NoSpacing"/>
        <w:rPr>
          <w:rFonts w:ascii="Garamond" w:hAnsi="Garamond"/>
          <w:b/>
        </w:rPr>
      </w:pPr>
      <w:r w:rsidRPr="00A73FFC">
        <w:rPr>
          <w:rFonts w:ascii="Garamond" w:hAnsi="Garamond"/>
          <w:b/>
        </w:rPr>
        <w:t>InterVISTAS Report</w:t>
      </w:r>
    </w:p>
    <w:p w14:paraId="29051611" w14:textId="77777777" w:rsidR="00A73FFC" w:rsidRDefault="00A43671" w:rsidP="00A43671">
      <w:pPr>
        <w:pStyle w:val="p1"/>
        <w:rPr>
          <w:rStyle w:val="s1"/>
          <w:rFonts w:ascii="Garamond" w:hAnsi="Garamond"/>
          <w:sz w:val="22"/>
          <w:szCs w:val="22"/>
        </w:rPr>
      </w:pPr>
      <w:r w:rsidRPr="0014069D">
        <w:rPr>
          <w:rStyle w:val="s1"/>
          <w:rFonts w:ascii="Garamond" w:hAnsi="Garamond"/>
          <w:sz w:val="22"/>
          <w:szCs w:val="22"/>
        </w:rPr>
        <w:t xml:space="preserve">FRCA had understood that the purpose of </w:t>
      </w:r>
      <w:r w:rsidR="007A0F79" w:rsidRPr="0014069D">
        <w:rPr>
          <w:rStyle w:val="s1"/>
          <w:rFonts w:ascii="Garamond" w:hAnsi="Garamond"/>
          <w:sz w:val="22"/>
          <w:szCs w:val="22"/>
        </w:rPr>
        <w:t xml:space="preserve">the InterVISTAS report </w:t>
      </w:r>
      <w:r w:rsidRPr="0014069D">
        <w:rPr>
          <w:rStyle w:val="s1"/>
          <w:rFonts w:ascii="Garamond" w:hAnsi="Garamond"/>
          <w:sz w:val="22"/>
          <w:szCs w:val="22"/>
        </w:rPr>
        <w:t>was to evaluate current rate reasonableness methodologies used by the STB, other Federal agencies</w:t>
      </w:r>
      <w:r w:rsidR="00A73FFC">
        <w:rPr>
          <w:rStyle w:val="s1"/>
          <w:rFonts w:ascii="Garamond" w:hAnsi="Garamond"/>
          <w:sz w:val="22"/>
          <w:szCs w:val="22"/>
        </w:rPr>
        <w:t xml:space="preserve">, and foreign entities </w:t>
      </w:r>
      <w:r w:rsidR="00280D4F">
        <w:rPr>
          <w:rStyle w:val="s1"/>
          <w:rFonts w:ascii="Garamond" w:hAnsi="Garamond"/>
          <w:sz w:val="22"/>
          <w:szCs w:val="22"/>
        </w:rPr>
        <w:t>for the purpose of</w:t>
      </w:r>
      <w:r w:rsidRPr="0014069D">
        <w:rPr>
          <w:rStyle w:val="s1"/>
          <w:rFonts w:ascii="Garamond" w:hAnsi="Garamond"/>
          <w:sz w:val="22"/>
          <w:szCs w:val="22"/>
        </w:rPr>
        <w:t xml:space="preserve"> developing alternatives to the S</w:t>
      </w:r>
      <w:r w:rsidR="007A0F79" w:rsidRPr="0014069D">
        <w:rPr>
          <w:rStyle w:val="s1"/>
          <w:rFonts w:ascii="Garamond" w:hAnsi="Garamond"/>
          <w:sz w:val="22"/>
          <w:szCs w:val="22"/>
        </w:rPr>
        <w:t>AC test</w:t>
      </w:r>
      <w:r w:rsidRPr="0014069D">
        <w:rPr>
          <w:rStyle w:val="s1"/>
          <w:rFonts w:ascii="Garamond" w:hAnsi="Garamond"/>
          <w:sz w:val="22"/>
          <w:szCs w:val="22"/>
        </w:rPr>
        <w:t xml:space="preserve">. </w:t>
      </w:r>
      <w:r w:rsidR="007A0F79" w:rsidRPr="0014069D">
        <w:rPr>
          <w:rStyle w:val="s1"/>
          <w:rFonts w:ascii="Garamond" w:hAnsi="Garamond"/>
          <w:sz w:val="22"/>
          <w:szCs w:val="22"/>
        </w:rPr>
        <w:t xml:space="preserve"> The report </w:t>
      </w:r>
      <w:r w:rsidRPr="0014069D">
        <w:rPr>
          <w:rStyle w:val="s1"/>
          <w:rFonts w:ascii="Garamond" w:hAnsi="Garamond"/>
          <w:sz w:val="22"/>
          <w:szCs w:val="22"/>
        </w:rPr>
        <w:t xml:space="preserve">instead starts by assuming the SAC is a sound and even ideal railroad rate reasonableness methodology, regardless of the costs incurred in utilizing the SAC </w:t>
      </w:r>
      <w:r w:rsidR="00280D4F">
        <w:rPr>
          <w:rStyle w:val="s1"/>
          <w:rFonts w:ascii="Garamond" w:hAnsi="Garamond"/>
          <w:sz w:val="22"/>
          <w:szCs w:val="22"/>
        </w:rPr>
        <w:t>or</w:t>
      </w:r>
      <w:r w:rsidRPr="0014069D">
        <w:rPr>
          <w:rStyle w:val="s1"/>
          <w:rFonts w:ascii="Garamond" w:hAnsi="Garamond"/>
          <w:sz w:val="22"/>
          <w:szCs w:val="22"/>
        </w:rPr>
        <w:t xml:space="preserve"> its complexity.  The </w:t>
      </w:r>
      <w:r w:rsidRPr="0014069D">
        <w:rPr>
          <w:rStyle w:val="s1"/>
          <w:rFonts w:ascii="Garamond" w:hAnsi="Garamond"/>
          <w:bCs/>
          <w:sz w:val="22"/>
          <w:szCs w:val="22"/>
        </w:rPr>
        <w:t>Repor</w:t>
      </w:r>
      <w:r w:rsidRPr="0014069D">
        <w:rPr>
          <w:rStyle w:val="s1"/>
          <w:rFonts w:ascii="Garamond" w:hAnsi="Garamond"/>
          <w:b/>
          <w:bCs/>
          <w:sz w:val="22"/>
          <w:szCs w:val="22"/>
        </w:rPr>
        <w:t>t</w:t>
      </w:r>
      <w:r w:rsidRPr="0014069D">
        <w:rPr>
          <w:rStyle w:val="s1"/>
          <w:rFonts w:ascii="Garamond" w:hAnsi="Garamond"/>
          <w:sz w:val="22"/>
          <w:szCs w:val="22"/>
        </w:rPr>
        <w:t xml:space="preserve"> does consider and finds some value in other existing alternatives</w:t>
      </w:r>
      <w:r w:rsidRPr="0014069D">
        <w:rPr>
          <w:rStyle w:val="s1"/>
          <w:rFonts w:ascii="Garamond" w:hAnsi="Garamond"/>
          <w:b/>
          <w:bCs/>
          <w:sz w:val="22"/>
          <w:szCs w:val="22"/>
        </w:rPr>
        <w:t xml:space="preserve"> </w:t>
      </w:r>
      <w:r w:rsidRPr="0014069D">
        <w:rPr>
          <w:rStyle w:val="s1"/>
          <w:rFonts w:ascii="Garamond" w:hAnsi="Garamond"/>
          <w:sz w:val="22"/>
          <w:szCs w:val="22"/>
        </w:rPr>
        <w:t>(or ways to simplify the SAC) only insofar as they incorporate SAC principles or approximate SAC results. </w:t>
      </w:r>
      <w:r w:rsidR="001F1A64">
        <w:rPr>
          <w:rStyle w:val="s1"/>
          <w:rFonts w:ascii="Garamond" w:hAnsi="Garamond"/>
          <w:sz w:val="22"/>
          <w:szCs w:val="22"/>
        </w:rPr>
        <w:t xml:space="preserve"> </w:t>
      </w:r>
    </w:p>
    <w:p w14:paraId="432C4405" w14:textId="77777777" w:rsidR="00A73FFC" w:rsidRDefault="00A73FFC" w:rsidP="00A43671">
      <w:pPr>
        <w:pStyle w:val="p1"/>
        <w:rPr>
          <w:rStyle w:val="s1"/>
          <w:rFonts w:ascii="Garamond" w:hAnsi="Garamond"/>
          <w:sz w:val="22"/>
          <w:szCs w:val="22"/>
        </w:rPr>
      </w:pPr>
    </w:p>
    <w:p w14:paraId="143A565A" w14:textId="77777777" w:rsidR="00A43671" w:rsidRDefault="001F1A64" w:rsidP="00A43671">
      <w:pPr>
        <w:pStyle w:val="p1"/>
        <w:rPr>
          <w:rStyle w:val="s1"/>
          <w:rFonts w:ascii="Garamond" w:hAnsi="Garamond"/>
          <w:sz w:val="22"/>
          <w:szCs w:val="22"/>
        </w:rPr>
      </w:pPr>
      <w:r>
        <w:rPr>
          <w:rStyle w:val="s1"/>
          <w:rFonts w:ascii="Garamond" w:hAnsi="Garamond"/>
          <w:sz w:val="22"/>
          <w:szCs w:val="22"/>
        </w:rPr>
        <w:t xml:space="preserve">The InterVISTAS Report can be found via </w:t>
      </w:r>
      <w:hyperlink r:id="rId8" w:history="1">
        <w:r w:rsidRPr="00607D74">
          <w:rPr>
            <w:rStyle w:val="Hyperlink"/>
            <w:rFonts w:ascii="Garamond" w:hAnsi="Garamond"/>
            <w:sz w:val="22"/>
            <w:szCs w:val="22"/>
          </w:rPr>
          <w:t>https://www.stb.gov/stb/elibrary/IndependentStudy.html</w:t>
        </w:r>
      </w:hyperlink>
    </w:p>
    <w:p w14:paraId="1D0F68B4" w14:textId="77777777" w:rsidR="001F1A64" w:rsidRPr="0014069D" w:rsidRDefault="001F1A64" w:rsidP="00A43671">
      <w:pPr>
        <w:pStyle w:val="p1"/>
        <w:rPr>
          <w:rFonts w:ascii="Garamond" w:hAnsi="Garamond"/>
          <w:sz w:val="22"/>
          <w:szCs w:val="22"/>
        </w:rPr>
      </w:pPr>
    </w:p>
    <w:p w14:paraId="73308918" w14:textId="77777777" w:rsidR="001F1A64" w:rsidRPr="001F1A64" w:rsidRDefault="001F1A64" w:rsidP="00A43671">
      <w:pPr>
        <w:pStyle w:val="p1"/>
        <w:rPr>
          <w:rStyle w:val="s1"/>
          <w:rFonts w:ascii="Garamond" w:hAnsi="Garamond"/>
          <w:b/>
          <w:sz w:val="22"/>
          <w:szCs w:val="22"/>
        </w:rPr>
      </w:pPr>
      <w:r w:rsidRPr="001F1A64">
        <w:rPr>
          <w:rStyle w:val="s1"/>
          <w:rFonts w:ascii="Garamond" w:hAnsi="Garamond"/>
          <w:b/>
          <w:sz w:val="22"/>
          <w:szCs w:val="22"/>
        </w:rPr>
        <w:t>TRB Report</w:t>
      </w:r>
    </w:p>
    <w:p w14:paraId="28085767" w14:textId="77777777" w:rsidR="00A73FFC" w:rsidRDefault="00280D4F" w:rsidP="00A43671">
      <w:pPr>
        <w:pStyle w:val="p1"/>
        <w:rPr>
          <w:rStyle w:val="s1"/>
          <w:rFonts w:ascii="Garamond" w:hAnsi="Garamond"/>
          <w:sz w:val="22"/>
          <w:szCs w:val="22"/>
        </w:rPr>
      </w:pPr>
      <w:r>
        <w:rPr>
          <w:rStyle w:val="s1"/>
          <w:rFonts w:ascii="Garamond" w:hAnsi="Garamond"/>
          <w:sz w:val="22"/>
          <w:szCs w:val="22"/>
        </w:rPr>
        <w:t>The TRB reached very different conclusions in its 2015 report.  The TRB Report found severe flaws in both the</w:t>
      </w:r>
      <w:r w:rsidR="00A73FFC">
        <w:rPr>
          <w:rStyle w:val="s1"/>
          <w:rFonts w:ascii="Garamond" w:hAnsi="Garamond"/>
          <w:sz w:val="22"/>
          <w:szCs w:val="22"/>
        </w:rPr>
        <w:t xml:space="preserve"> SAC </w:t>
      </w:r>
      <w:r>
        <w:rPr>
          <w:rStyle w:val="s1"/>
          <w:rFonts w:ascii="Garamond" w:hAnsi="Garamond"/>
          <w:sz w:val="22"/>
          <w:szCs w:val="22"/>
        </w:rPr>
        <w:t>and the basic effort to calculate and regulate based on re</w:t>
      </w:r>
      <w:r w:rsidR="00A73FFC">
        <w:rPr>
          <w:rStyle w:val="s1"/>
          <w:rFonts w:ascii="Garamond" w:hAnsi="Garamond"/>
          <w:sz w:val="22"/>
          <w:szCs w:val="22"/>
        </w:rPr>
        <w:t xml:space="preserve">venue to variable cost ratios.  Further, it </w:t>
      </w:r>
      <w:r w:rsidR="00A43671" w:rsidRPr="0014069D">
        <w:rPr>
          <w:rStyle w:val="s1"/>
          <w:rFonts w:ascii="Garamond" w:hAnsi="Garamond"/>
          <w:sz w:val="22"/>
          <w:szCs w:val="22"/>
        </w:rPr>
        <w:t>recommends developing a whole new structure/methodology for rate cases.</w:t>
      </w:r>
      <w:r w:rsidR="001F1A64">
        <w:rPr>
          <w:rStyle w:val="s1"/>
          <w:rFonts w:ascii="Garamond" w:hAnsi="Garamond"/>
          <w:sz w:val="22"/>
          <w:szCs w:val="22"/>
        </w:rPr>
        <w:t xml:space="preserve">  </w:t>
      </w:r>
    </w:p>
    <w:p w14:paraId="630DE3A8" w14:textId="77777777" w:rsidR="00A73FFC" w:rsidRDefault="00A73FFC" w:rsidP="00A43671">
      <w:pPr>
        <w:pStyle w:val="p1"/>
        <w:rPr>
          <w:rStyle w:val="s1"/>
          <w:rFonts w:ascii="Garamond" w:hAnsi="Garamond"/>
          <w:sz w:val="22"/>
          <w:szCs w:val="22"/>
        </w:rPr>
      </w:pPr>
    </w:p>
    <w:p w14:paraId="26E38AAF" w14:textId="77777777" w:rsidR="001F1A64" w:rsidRDefault="001F1A64" w:rsidP="00A43671">
      <w:pPr>
        <w:pStyle w:val="p1"/>
        <w:rPr>
          <w:rFonts w:ascii="Garamond" w:hAnsi="Garamond" w:cstheme="minorBidi"/>
          <w:color w:val="0563C1" w:themeColor="hyperlink"/>
          <w:sz w:val="22"/>
          <w:szCs w:val="22"/>
          <w:u w:val="single"/>
        </w:rPr>
      </w:pPr>
      <w:r w:rsidRPr="001F1A64">
        <w:rPr>
          <w:rStyle w:val="s1"/>
          <w:rFonts w:ascii="Garamond" w:hAnsi="Garamond"/>
          <w:sz w:val="22"/>
          <w:szCs w:val="22"/>
        </w:rPr>
        <w:t>The TRB Report</w:t>
      </w:r>
      <w:r w:rsidRPr="001F1A64">
        <w:rPr>
          <w:rFonts w:ascii="Garamond" w:hAnsi="Garamond" w:cs="Arial"/>
          <w:bCs/>
          <w:sz w:val="22"/>
          <w:szCs w:val="22"/>
        </w:rPr>
        <w:t xml:space="preserve"> </w:t>
      </w:r>
      <w:r w:rsidRPr="001F1A64">
        <w:rPr>
          <w:rStyle w:val="s1"/>
          <w:rFonts w:ascii="Garamond" w:hAnsi="Garamond"/>
          <w:sz w:val="22"/>
          <w:szCs w:val="22"/>
        </w:rPr>
        <w:t xml:space="preserve">can be accessed via </w:t>
      </w:r>
      <w:hyperlink r:id="rId9" w:history="1">
        <w:r w:rsidRPr="001F1A64">
          <w:rPr>
            <w:rFonts w:ascii="Garamond" w:hAnsi="Garamond" w:cstheme="minorBidi"/>
            <w:color w:val="0563C1" w:themeColor="hyperlink"/>
            <w:sz w:val="22"/>
            <w:szCs w:val="22"/>
            <w:u w:val="single"/>
          </w:rPr>
          <w:t>http://www.trb.org/Main/Blurbs/172736.aspx</w:t>
        </w:r>
      </w:hyperlink>
    </w:p>
    <w:p w14:paraId="024C2F93" w14:textId="77777777" w:rsidR="001F1A64" w:rsidRDefault="001F1A64" w:rsidP="00A43671">
      <w:pPr>
        <w:pStyle w:val="p1"/>
        <w:rPr>
          <w:rFonts w:ascii="Garamond" w:hAnsi="Garamond" w:cstheme="minorBidi"/>
          <w:color w:val="0563C1" w:themeColor="hyperlink"/>
          <w:sz w:val="22"/>
          <w:szCs w:val="22"/>
          <w:u w:val="single"/>
        </w:rPr>
      </w:pPr>
    </w:p>
    <w:p w14:paraId="3FC9BF44" w14:textId="77777777" w:rsidR="001F1A64" w:rsidRPr="001F1A64" w:rsidRDefault="00A73FFC" w:rsidP="00A43671">
      <w:pPr>
        <w:pStyle w:val="p1"/>
        <w:rPr>
          <w:rFonts w:ascii="Garamond" w:hAnsi="Garamond" w:cstheme="minorBidi"/>
          <w:b/>
          <w:sz w:val="24"/>
          <w:szCs w:val="24"/>
        </w:rPr>
      </w:pPr>
      <w:r>
        <w:rPr>
          <w:rFonts w:ascii="Garamond" w:hAnsi="Garamond" w:cstheme="minorBidi"/>
          <w:b/>
          <w:sz w:val="24"/>
          <w:szCs w:val="24"/>
        </w:rPr>
        <w:t>Status</w:t>
      </w:r>
    </w:p>
    <w:p w14:paraId="6CB79226" w14:textId="048B1D73" w:rsidR="00A06FBC" w:rsidRPr="009176CB" w:rsidRDefault="00F24DD0" w:rsidP="00B27DF5">
      <w:pPr>
        <w:rPr>
          <w:rFonts w:ascii="Garamond" w:hAnsi="Garamond" w:cs="Helvetica"/>
        </w:rPr>
      </w:pPr>
      <w:r w:rsidRPr="009176CB">
        <w:rPr>
          <w:rFonts w:ascii="Garamond" w:hAnsi="Garamond" w:cs="Helvetica"/>
        </w:rPr>
        <w:t xml:space="preserve">In May, the STB began exploring ways to streamline its SAC rate review methodology via meetings with stakeholders, practitioners, and consultants with its </w:t>
      </w:r>
      <w:r w:rsidRPr="009176CB">
        <w:rPr>
          <w:rFonts w:ascii="Garamond" w:hAnsi="Garamond" w:cs="Helvetica"/>
          <w:i/>
        </w:rPr>
        <w:t>Rate Reform Task</w:t>
      </w:r>
      <w:r w:rsidR="00A06FBC" w:rsidRPr="009176CB">
        <w:rPr>
          <w:rFonts w:ascii="Garamond" w:hAnsi="Garamond" w:cs="Helvetica"/>
          <w:i/>
        </w:rPr>
        <w:t xml:space="preserve"> Force:</w:t>
      </w:r>
      <w:r w:rsidRPr="009176CB">
        <w:rPr>
          <w:rFonts w:ascii="Garamond" w:hAnsi="Garamond" w:cs="Helvetica"/>
          <w:i/>
        </w:rPr>
        <w:t xml:space="preserve"> </w:t>
      </w:r>
      <w:hyperlink r:id="rId10" w:history="1">
        <w:r w:rsidR="00A06FBC" w:rsidRPr="009176CB">
          <w:rPr>
            <w:rStyle w:val="Hyperlink"/>
            <w:rFonts w:ascii="Garamond" w:hAnsi="Garamond" w:cs="Helvetica"/>
          </w:rPr>
          <w:t>https://www.stb.gov/newsrels.nsf/WEBUNID/EFEEE3B0A71EC4A98525827800541CF1</w:t>
        </w:r>
      </w:hyperlink>
    </w:p>
    <w:p w14:paraId="48C11772" w14:textId="77777777" w:rsidR="00A06FBC" w:rsidRPr="009176CB" w:rsidRDefault="00A06FBC" w:rsidP="00B27DF5">
      <w:pPr>
        <w:rPr>
          <w:rFonts w:ascii="Garamond" w:hAnsi="Garamond" w:cs="Helvetica"/>
        </w:rPr>
      </w:pPr>
    </w:p>
    <w:p w14:paraId="7ABA69C0" w14:textId="58887127" w:rsidR="00B27DF5" w:rsidRDefault="00F24DD0" w:rsidP="00B27DF5">
      <w:pPr>
        <w:rPr>
          <w:rFonts w:ascii="Garamond" w:hAnsi="Garamond"/>
        </w:rPr>
      </w:pPr>
      <w:r w:rsidRPr="009176CB">
        <w:rPr>
          <w:rFonts w:ascii="Garamond" w:hAnsi="Garamond" w:cs="Helvetica"/>
        </w:rPr>
        <w:t xml:space="preserve">The </w:t>
      </w:r>
      <w:r w:rsidR="00A06FBC" w:rsidRPr="009176CB">
        <w:rPr>
          <w:rFonts w:ascii="Garamond" w:hAnsi="Garamond" w:cs="Helvetica"/>
          <w:i/>
        </w:rPr>
        <w:t xml:space="preserve">Rate Reform </w:t>
      </w:r>
      <w:r w:rsidRPr="009176CB">
        <w:rPr>
          <w:rFonts w:ascii="Garamond" w:hAnsi="Garamond" w:cs="Helvetica"/>
          <w:i/>
        </w:rPr>
        <w:t>Task Force</w:t>
      </w:r>
      <w:r w:rsidRPr="009176CB">
        <w:rPr>
          <w:rFonts w:ascii="Garamond" w:hAnsi="Garamond" w:cs="Helvetica"/>
        </w:rPr>
        <w:t xml:space="preserve"> was established in January 2018 by the STB to gain further insight even though it</w:t>
      </w:r>
      <w:r w:rsidR="00C409EF" w:rsidRPr="009176CB">
        <w:rPr>
          <w:rFonts w:ascii="Garamond" w:hAnsi="Garamond" w:cs="Helvetica"/>
        </w:rPr>
        <w:t>s</w:t>
      </w:r>
      <w:r w:rsidRPr="009176CB">
        <w:rPr>
          <w:rFonts w:ascii="Garamond" w:hAnsi="Garamond" w:cs="Helvetica"/>
        </w:rPr>
        <w:t xml:space="preserve"> formal proceeding concluded several months earlier.</w:t>
      </w:r>
      <w:r>
        <w:rPr>
          <w:rFonts w:ascii="Garamond" w:hAnsi="Garamond" w:cs="Helvetica"/>
        </w:rPr>
        <w:t xml:space="preserve">  </w:t>
      </w:r>
      <w:r w:rsidR="00B27DF5" w:rsidRPr="00A45047">
        <w:rPr>
          <w:rFonts w:ascii="Garamond" w:hAnsi="Garamond" w:cstheme="minorBidi"/>
        </w:rPr>
        <w:t xml:space="preserve">On </w:t>
      </w:r>
      <w:r w:rsidR="00B27DF5">
        <w:rPr>
          <w:rFonts w:ascii="Garamond" w:hAnsi="Garamond" w:cstheme="minorBidi"/>
        </w:rPr>
        <w:t>November 20, 2017, the STB issued its Final Rule (FR),</w:t>
      </w:r>
      <w:r w:rsidR="00B27DF5" w:rsidRPr="00A45047">
        <w:rPr>
          <w:rFonts w:ascii="Garamond" w:hAnsi="Garamond" w:cstheme="minorBidi"/>
        </w:rPr>
        <w:t xml:space="preserve"> EP Docket No. 733, </w:t>
      </w:r>
      <w:r w:rsidR="00B27DF5" w:rsidRPr="00A45047">
        <w:rPr>
          <w:rFonts w:ascii="Garamond" w:hAnsi="Garamond" w:cstheme="minorBidi"/>
          <w:i/>
          <w:u w:val="single"/>
        </w:rPr>
        <w:t>Expediting Rate Cases</w:t>
      </w:r>
      <w:r w:rsidR="00B27DF5" w:rsidRPr="00A45047">
        <w:rPr>
          <w:rFonts w:ascii="Garamond" w:hAnsi="Garamond" w:cstheme="minorBidi"/>
        </w:rPr>
        <w:t>.</w:t>
      </w:r>
      <w:r w:rsidR="00B27DF5">
        <w:rPr>
          <w:rFonts w:ascii="Garamond" w:hAnsi="Garamond" w:cstheme="minorBidi"/>
        </w:rPr>
        <w:t xml:space="preserve">  </w:t>
      </w:r>
      <w:r w:rsidR="00B27DF5" w:rsidRPr="000559C0">
        <w:rPr>
          <w:rFonts w:ascii="Garamond" w:hAnsi="Garamond"/>
        </w:rPr>
        <w:t>FRCA joined with the W</w:t>
      </w:r>
      <w:r w:rsidR="00B27DF5">
        <w:rPr>
          <w:rFonts w:ascii="Garamond" w:hAnsi="Garamond"/>
        </w:rPr>
        <w:t xml:space="preserve">estern Coal Traffic League (WCTL), </w:t>
      </w:r>
      <w:r w:rsidR="00B27DF5" w:rsidRPr="00A45047">
        <w:rPr>
          <w:rFonts w:ascii="Garamond" w:hAnsi="Garamond"/>
        </w:rPr>
        <w:t>American Public Power Association, Edison Electric Institute, National Association of Regulatory Utility Commissioners, and the National Rural Electric Cooperative Association</w:t>
      </w:r>
      <w:r w:rsidR="00B27DF5">
        <w:rPr>
          <w:rFonts w:ascii="Garamond" w:hAnsi="Garamond"/>
        </w:rPr>
        <w:t xml:space="preserve"> in filing comments during this proceeding.</w:t>
      </w:r>
    </w:p>
    <w:p w14:paraId="5C77D9DE" w14:textId="77777777" w:rsidR="00B27DF5" w:rsidRDefault="00B27DF5" w:rsidP="00B27DF5">
      <w:pPr>
        <w:rPr>
          <w:rFonts w:ascii="Garamond" w:hAnsi="Garamond"/>
        </w:rPr>
      </w:pPr>
    </w:p>
    <w:p w14:paraId="7CEE01DF" w14:textId="77777777" w:rsidR="00B27DF5" w:rsidRPr="000559C0" w:rsidRDefault="00B27DF5" w:rsidP="00B27DF5">
      <w:pPr>
        <w:rPr>
          <w:rFonts w:ascii="Garamond" w:hAnsi="Garamond"/>
        </w:rPr>
      </w:pPr>
      <w:r>
        <w:rPr>
          <w:rFonts w:ascii="Garamond" w:hAnsi="Garamond"/>
        </w:rPr>
        <w:t xml:space="preserve">This FR adheres to </w:t>
      </w:r>
      <w:r w:rsidRPr="000559C0">
        <w:rPr>
          <w:rFonts w:ascii="Garamond" w:hAnsi="Garamond"/>
        </w:rPr>
        <w:t>coal shippers</w:t>
      </w:r>
      <w:r>
        <w:rPr>
          <w:rFonts w:ascii="Garamond" w:hAnsi="Garamond"/>
        </w:rPr>
        <w:t>’</w:t>
      </w:r>
      <w:r w:rsidRPr="000559C0">
        <w:rPr>
          <w:rFonts w:ascii="Garamond" w:hAnsi="Garamond"/>
        </w:rPr>
        <w:t xml:space="preserve"> primary objective </w:t>
      </w:r>
      <w:r>
        <w:rPr>
          <w:rFonts w:ascii="Garamond" w:hAnsi="Garamond"/>
        </w:rPr>
        <w:t xml:space="preserve">stated early-on </w:t>
      </w:r>
      <w:r w:rsidRPr="000559C0">
        <w:rPr>
          <w:rFonts w:ascii="Garamond" w:hAnsi="Garamond"/>
        </w:rPr>
        <w:t xml:space="preserve">in this proceeding when the Board, at the group’s urging, decided </w:t>
      </w:r>
      <w:r w:rsidRPr="000559C0">
        <w:rPr>
          <w:rFonts w:ascii="Garamond" w:hAnsi="Garamond"/>
          <w:u w:val="single"/>
        </w:rPr>
        <w:t>not</w:t>
      </w:r>
      <w:r w:rsidRPr="000559C0">
        <w:rPr>
          <w:rFonts w:ascii="Garamond" w:hAnsi="Garamond"/>
        </w:rPr>
        <w:t xml:space="preserve"> to pursue substantive proposals that would have blocked coal shippers</w:t>
      </w:r>
      <w:r>
        <w:rPr>
          <w:rFonts w:ascii="Garamond" w:hAnsi="Garamond"/>
        </w:rPr>
        <w:t>’</w:t>
      </w:r>
      <w:r w:rsidRPr="000559C0">
        <w:rPr>
          <w:rFonts w:ascii="Garamond" w:hAnsi="Garamond"/>
        </w:rPr>
        <w:t xml:space="preserve"> ability to obtain STB rate relief.  In </w:t>
      </w:r>
      <w:r>
        <w:rPr>
          <w:rFonts w:ascii="Garamond" w:hAnsi="Garamond"/>
        </w:rPr>
        <w:t xml:space="preserve">this final </w:t>
      </w:r>
      <w:r w:rsidRPr="000559C0">
        <w:rPr>
          <w:rFonts w:ascii="Garamond" w:hAnsi="Garamond"/>
        </w:rPr>
        <w:t>Decision, the Board does not change its position.</w:t>
      </w:r>
      <w:r>
        <w:rPr>
          <w:rFonts w:ascii="Garamond" w:hAnsi="Garamond"/>
        </w:rPr>
        <w:t xml:space="preserve">  It also </w:t>
      </w:r>
      <w:r w:rsidRPr="000559C0">
        <w:rPr>
          <w:rFonts w:ascii="Garamond" w:hAnsi="Garamond"/>
        </w:rPr>
        <w:t>aims to allow the STB to pursue certain procedural changes that the Board hopes will help speed-up its consideration of maximum rate cases.  A bit of caution as there is now a 70-day pre-complaint mediation, which means that the actual case will start 70 days later, and discovery needs to be served with the complaint.  There is no corresponding requirement to make the common carrier rate being challenged available any earlier.</w:t>
      </w:r>
    </w:p>
    <w:p w14:paraId="51CABB40" w14:textId="77777777" w:rsidR="00B27DF5" w:rsidRDefault="00B27DF5" w:rsidP="00B27DF5">
      <w:pPr>
        <w:pStyle w:val="p1"/>
        <w:ind w:left="360"/>
        <w:rPr>
          <w:rFonts w:ascii="Garamond" w:hAnsi="Garamond" w:cstheme="minorBidi"/>
          <w:sz w:val="22"/>
          <w:szCs w:val="22"/>
        </w:rPr>
      </w:pPr>
    </w:p>
    <w:p w14:paraId="697E6E2C" w14:textId="77777777" w:rsidR="00B27DF5" w:rsidRDefault="00B27DF5" w:rsidP="00B27DF5">
      <w:pPr>
        <w:pStyle w:val="p1"/>
        <w:rPr>
          <w:rFonts w:ascii="Garamond" w:hAnsi="Garamond" w:cstheme="minorBidi"/>
          <w:sz w:val="22"/>
          <w:szCs w:val="22"/>
        </w:rPr>
      </w:pPr>
      <w:r>
        <w:rPr>
          <w:rFonts w:ascii="Garamond" w:hAnsi="Garamond" w:cstheme="minorBidi"/>
          <w:sz w:val="22"/>
          <w:szCs w:val="22"/>
        </w:rPr>
        <w:t xml:space="preserve">The other joint filings in this proceeding were submitted on June 14, 2017 (Final Reply Comments), August 29, 2019 (Reply Comments), and </w:t>
      </w:r>
      <w:r w:rsidR="0068152D">
        <w:rPr>
          <w:rFonts w:ascii="Garamond" w:hAnsi="Garamond" w:cstheme="minorBidi"/>
          <w:sz w:val="22"/>
          <w:szCs w:val="22"/>
        </w:rPr>
        <w:t>August 1, 2016 (Comments).</w:t>
      </w:r>
    </w:p>
    <w:p w14:paraId="32558BB7" w14:textId="77777777" w:rsidR="0068152D" w:rsidRDefault="0068152D" w:rsidP="00B27DF5">
      <w:pPr>
        <w:pStyle w:val="p1"/>
        <w:rPr>
          <w:rFonts w:ascii="Garamond" w:hAnsi="Garamond" w:cstheme="minorBidi"/>
          <w:sz w:val="22"/>
          <w:szCs w:val="22"/>
        </w:rPr>
      </w:pPr>
    </w:p>
    <w:p w14:paraId="16DDBD61" w14:textId="77777777" w:rsidR="0068152D" w:rsidRDefault="0068152D" w:rsidP="003721CB">
      <w:pPr>
        <w:pStyle w:val="p1"/>
        <w:rPr>
          <w:rFonts w:ascii="Garamond" w:hAnsi="Garamond" w:cstheme="minorBidi"/>
          <w:sz w:val="22"/>
          <w:szCs w:val="22"/>
        </w:rPr>
      </w:pPr>
      <w:r>
        <w:rPr>
          <w:rFonts w:ascii="Garamond" w:hAnsi="Garamond" w:cstheme="minorBidi"/>
          <w:sz w:val="22"/>
          <w:szCs w:val="22"/>
        </w:rPr>
        <w:t xml:space="preserve">This FR became effective December 30, 2017 and can be accessed via </w:t>
      </w:r>
      <w:hyperlink r:id="rId11" w:history="1">
        <w:r w:rsidRPr="00612197">
          <w:rPr>
            <w:rStyle w:val="Hyperlink"/>
            <w:rFonts w:ascii="Garamond" w:hAnsi="Garamond" w:cstheme="minorBidi"/>
            <w:sz w:val="22"/>
            <w:szCs w:val="22"/>
          </w:rPr>
          <w:t>https://railvoices.org/wp-content/uploads/EP-733-Decision.pdf</w:t>
        </w:r>
      </w:hyperlink>
    </w:p>
    <w:p w14:paraId="53B6FA2B" w14:textId="77777777" w:rsidR="0068152D" w:rsidRDefault="0068152D" w:rsidP="003721CB">
      <w:pPr>
        <w:pStyle w:val="p1"/>
        <w:rPr>
          <w:rFonts w:ascii="Garamond" w:hAnsi="Garamond" w:cstheme="minorBidi"/>
          <w:sz w:val="22"/>
          <w:szCs w:val="22"/>
        </w:rPr>
      </w:pPr>
    </w:p>
    <w:p w14:paraId="48B134C8" w14:textId="77777777" w:rsidR="00A06FBC" w:rsidRDefault="00A06FBC" w:rsidP="00A45047">
      <w:pPr>
        <w:pStyle w:val="NoSpacing"/>
        <w:rPr>
          <w:rStyle w:val="s1"/>
          <w:rFonts w:ascii="Garamond" w:hAnsi="Garamond"/>
          <w:sz w:val="22"/>
          <w:szCs w:val="22"/>
        </w:rPr>
      </w:pPr>
    </w:p>
    <w:p w14:paraId="06F59C99" w14:textId="77777777" w:rsidR="00A06FBC" w:rsidRDefault="00A06FBC" w:rsidP="00A45047">
      <w:pPr>
        <w:pStyle w:val="NoSpacing"/>
        <w:rPr>
          <w:rStyle w:val="s1"/>
          <w:rFonts w:ascii="Garamond" w:hAnsi="Garamond"/>
          <w:sz w:val="22"/>
          <w:szCs w:val="22"/>
        </w:rPr>
      </w:pPr>
    </w:p>
    <w:p w14:paraId="6FB36C93" w14:textId="77777777" w:rsidR="00A06FBC" w:rsidRDefault="00A06FBC" w:rsidP="00A45047">
      <w:pPr>
        <w:pStyle w:val="NoSpacing"/>
        <w:rPr>
          <w:rStyle w:val="s1"/>
          <w:rFonts w:ascii="Garamond" w:hAnsi="Garamond"/>
          <w:sz w:val="22"/>
          <w:szCs w:val="22"/>
        </w:rPr>
      </w:pPr>
    </w:p>
    <w:p w14:paraId="68AE8130" w14:textId="77777777" w:rsidR="00A06FBC" w:rsidRDefault="00A06FBC" w:rsidP="00A45047">
      <w:pPr>
        <w:pStyle w:val="NoSpacing"/>
        <w:rPr>
          <w:rStyle w:val="s1"/>
          <w:rFonts w:ascii="Garamond" w:hAnsi="Garamond"/>
          <w:sz w:val="22"/>
          <w:szCs w:val="22"/>
        </w:rPr>
      </w:pPr>
    </w:p>
    <w:p w14:paraId="2DA82BD9" w14:textId="515944BA" w:rsidR="00546D3C" w:rsidRDefault="00280D4F" w:rsidP="00A45047">
      <w:pPr>
        <w:pStyle w:val="NoSpacing"/>
        <w:rPr>
          <w:rFonts w:ascii="Garamond" w:hAnsi="Garamond"/>
          <w:sz w:val="22"/>
          <w:szCs w:val="22"/>
        </w:rPr>
      </w:pPr>
      <w:r>
        <w:rPr>
          <w:rStyle w:val="s1"/>
          <w:rFonts w:ascii="Garamond" w:hAnsi="Garamond"/>
          <w:sz w:val="22"/>
          <w:szCs w:val="22"/>
        </w:rPr>
        <w:lastRenderedPageBreak/>
        <w:t xml:space="preserve">The STB created a new proceeding, EP Docket No.736, </w:t>
      </w:r>
      <w:r w:rsidR="00DD4093" w:rsidRPr="00A73FFC">
        <w:rPr>
          <w:rStyle w:val="s1"/>
          <w:rFonts w:ascii="Garamond" w:hAnsi="Garamond"/>
          <w:i/>
          <w:sz w:val="22"/>
          <w:szCs w:val="22"/>
          <w:u w:val="single"/>
        </w:rPr>
        <w:t>Intervistas Study</w:t>
      </w:r>
      <w:r w:rsidR="00A73FFC" w:rsidRPr="00A73FFC">
        <w:rPr>
          <w:rStyle w:val="s1"/>
          <w:rFonts w:ascii="Garamond" w:hAnsi="Garamond"/>
          <w:sz w:val="22"/>
          <w:szCs w:val="22"/>
        </w:rPr>
        <w:t xml:space="preserve">.  The </w:t>
      </w:r>
      <w:r w:rsidR="00546D3C">
        <w:rPr>
          <w:rStyle w:val="s1"/>
          <w:rFonts w:ascii="Garamond" w:hAnsi="Garamond"/>
          <w:sz w:val="22"/>
          <w:szCs w:val="22"/>
        </w:rPr>
        <w:t xml:space="preserve">STB </w:t>
      </w:r>
      <w:r w:rsidR="00A45047">
        <w:rPr>
          <w:rStyle w:val="s1"/>
          <w:rFonts w:ascii="Garamond" w:hAnsi="Garamond"/>
          <w:sz w:val="22"/>
          <w:szCs w:val="22"/>
        </w:rPr>
        <w:t>held an Economic Roundtable</w:t>
      </w:r>
      <w:r w:rsidR="00A73FFC">
        <w:rPr>
          <w:rStyle w:val="s1"/>
          <w:rFonts w:ascii="Garamond" w:hAnsi="Garamond"/>
          <w:sz w:val="22"/>
          <w:szCs w:val="22"/>
        </w:rPr>
        <w:t xml:space="preserve"> on this Report, </w:t>
      </w:r>
      <w:r w:rsidR="00A45047">
        <w:rPr>
          <w:rStyle w:val="s1"/>
          <w:rFonts w:ascii="Garamond" w:hAnsi="Garamond"/>
          <w:sz w:val="22"/>
          <w:szCs w:val="22"/>
        </w:rPr>
        <w:t>“</w:t>
      </w:r>
      <w:r w:rsidR="00A45047" w:rsidRPr="00546D3C">
        <w:rPr>
          <w:rFonts w:ascii="Garamond" w:hAnsi="Garamond"/>
          <w:b/>
          <w:bCs/>
          <w:i/>
          <w:iCs/>
          <w:sz w:val="22"/>
          <w:szCs w:val="22"/>
        </w:rPr>
        <w:t>An Examination of the STB’s Approach to Freight Rail Rate Regulation and Options for Simplification</w:t>
      </w:r>
      <w:r w:rsidR="00A45047" w:rsidRPr="00546D3C">
        <w:rPr>
          <w:rFonts w:ascii="Garamond" w:hAnsi="Garamond"/>
          <w:b/>
          <w:i/>
          <w:sz w:val="22"/>
          <w:szCs w:val="22"/>
        </w:rPr>
        <w:t xml:space="preserve"> (</w:t>
      </w:r>
      <w:r w:rsidR="00A45047" w:rsidRPr="00546D3C">
        <w:rPr>
          <w:rFonts w:ascii="Garamond" w:hAnsi="Garamond"/>
          <w:b/>
          <w:bCs/>
          <w:i/>
          <w:iCs/>
          <w:sz w:val="22"/>
          <w:szCs w:val="22"/>
        </w:rPr>
        <w:t>Report</w:t>
      </w:r>
      <w:r w:rsidR="00A45047" w:rsidRPr="00A45047">
        <w:rPr>
          <w:rFonts w:ascii="Garamond" w:hAnsi="Garamond"/>
          <w:sz w:val="22"/>
          <w:szCs w:val="22"/>
        </w:rPr>
        <w:t>)</w:t>
      </w:r>
      <w:r w:rsidR="00546D3C">
        <w:rPr>
          <w:rFonts w:ascii="Garamond" w:hAnsi="Garamond"/>
          <w:sz w:val="22"/>
          <w:szCs w:val="22"/>
        </w:rPr>
        <w:t xml:space="preserve">”, on October 25, 2016.  Participation in this Economic Roundtable was by invitation only – notably academics including some individuals who participated in either the InterVISTAS Report or the TRB Report.  </w:t>
      </w:r>
    </w:p>
    <w:p w14:paraId="27A6F0B6" w14:textId="77777777" w:rsidR="00546D3C" w:rsidRDefault="00546D3C" w:rsidP="00A45047">
      <w:pPr>
        <w:pStyle w:val="NoSpacing"/>
        <w:rPr>
          <w:rFonts w:ascii="Garamond" w:hAnsi="Garamond"/>
          <w:sz w:val="22"/>
          <w:szCs w:val="22"/>
        </w:rPr>
      </w:pPr>
    </w:p>
    <w:p w14:paraId="4A6D3787" w14:textId="77777777" w:rsidR="000F7A6E" w:rsidRDefault="006A1EB1" w:rsidP="0068152D">
      <w:pPr>
        <w:pStyle w:val="NoSpacing"/>
        <w:rPr>
          <w:rFonts w:ascii="Garamond" w:hAnsi="Garamond"/>
          <w:sz w:val="22"/>
          <w:szCs w:val="22"/>
        </w:rPr>
      </w:pPr>
      <w:r w:rsidRPr="009176CB">
        <w:rPr>
          <w:rFonts w:ascii="Garamond" w:hAnsi="Garamond"/>
          <w:sz w:val="22"/>
          <w:szCs w:val="22"/>
        </w:rPr>
        <w:t xml:space="preserve">It is not known if the </w:t>
      </w:r>
      <w:r w:rsidR="00546D3C" w:rsidRPr="009176CB">
        <w:rPr>
          <w:rFonts w:ascii="Garamond" w:hAnsi="Garamond"/>
          <w:sz w:val="22"/>
          <w:szCs w:val="22"/>
        </w:rPr>
        <w:t>Board will hold a public hearing on the InterVISTAS Report</w:t>
      </w:r>
      <w:r w:rsidR="00CC2FCE" w:rsidRPr="009176CB">
        <w:rPr>
          <w:rFonts w:ascii="Garamond" w:hAnsi="Garamond"/>
          <w:sz w:val="22"/>
          <w:szCs w:val="22"/>
        </w:rPr>
        <w:t>.</w:t>
      </w:r>
      <w:r w:rsidR="00CC2FCE">
        <w:rPr>
          <w:rFonts w:ascii="Garamond" w:hAnsi="Garamond"/>
          <w:sz w:val="22"/>
          <w:szCs w:val="22"/>
        </w:rPr>
        <w:t xml:space="preserve">  </w:t>
      </w:r>
      <w:r>
        <w:rPr>
          <w:rFonts w:ascii="Garamond" w:hAnsi="Garamond"/>
          <w:sz w:val="22"/>
          <w:szCs w:val="22"/>
        </w:rPr>
        <w:t xml:space="preserve">Should such a </w:t>
      </w:r>
      <w:r w:rsidR="00DD4093">
        <w:rPr>
          <w:rFonts w:ascii="Garamond" w:hAnsi="Garamond"/>
          <w:sz w:val="22"/>
          <w:szCs w:val="22"/>
        </w:rPr>
        <w:t xml:space="preserve">hearing </w:t>
      </w:r>
      <w:r>
        <w:rPr>
          <w:rFonts w:ascii="Garamond" w:hAnsi="Garamond"/>
          <w:sz w:val="22"/>
          <w:szCs w:val="22"/>
        </w:rPr>
        <w:t xml:space="preserve">be held, it </w:t>
      </w:r>
      <w:r w:rsidR="00DD4093">
        <w:rPr>
          <w:rFonts w:ascii="Garamond" w:hAnsi="Garamond"/>
          <w:sz w:val="22"/>
          <w:szCs w:val="22"/>
        </w:rPr>
        <w:t>may provide an opportunity to present and explore alternatives to the three existing rate reasonableness methodologies.</w:t>
      </w:r>
    </w:p>
    <w:p w14:paraId="5AF825D6" w14:textId="77777777" w:rsidR="00F24DD0" w:rsidRDefault="00F24DD0" w:rsidP="0068152D">
      <w:pPr>
        <w:pStyle w:val="NoSpacing"/>
        <w:rPr>
          <w:rFonts w:ascii="Garamond" w:hAnsi="Garamond"/>
          <w:b/>
          <w:color w:val="000000" w:themeColor="text1"/>
        </w:rPr>
      </w:pPr>
    </w:p>
    <w:p w14:paraId="7CD05CE1" w14:textId="3B2DC444" w:rsidR="00F24DD0" w:rsidRPr="007B23E6" w:rsidRDefault="00C409EF" w:rsidP="0068152D">
      <w:pPr>
        <w:pStyle w:val="NoSpacing"/>
        <w:rPr>
          <w:rFonts w:ascii="Garamond" w:hAnsi="Garamond"/>
          <w:b/>
          <w:color w:val="000000" w:themeColor="text1"/>
        </w:rPr>
      </w:pPr>
      <w:r w:rsidRPr="009176CB">
        <w:rPr>
          <w:rFonts w:ascii="Garamond" w:hAnsi="Garamond"/>
          <w:sz w:val="22"/>
          <w:szCs w:val="22"/>
        </w:rPr>
        <w:t>It is possible that the STB might begin discussing, with ex</w:t>
      </w:r>
      <w:r w:rsidR="009176CB" w:rsidRPr="009176CB">
        <w:rPr>
          <w:rFonts w:ascii="Garamond" w:hAnsi="Garamond"/>
          <w:sz w:val="22"/>
          <w:szCs w:val="22"/>
        </w:rPr>
        <w:t xml:space="preserve"> </w:t>
      </w:r>
      <w:r w:rsidRPr="009176CB">
        <w:rPr>
          <w:rFonts w:ascii="Garamond" w:hAnsi="Garamond"/>
          <w:sz w:val="22"/>
          <w:szCs w:val="22"/>
        </w:rPr>
        <w:t>parte restrictions waived, rate-</w:t>
      </w:r>
      <w:r w:rsidR="00A06FBC" w:rsidRPr="009176CB">
        <w:rPr>
          <w:rFonts w:ascii="Garamond" w:hAnsi="Garamond"/>
          <w:sz w:val="22"/>
          <w:szCs w:val="22"/>
        </w:rPr>
        <w:t>reasonableness matters</w:t>
      </w:r>
      <w:r w:rsidRPr="009176CB">
        <w:rPr>
          <w:rFonts w:ascii="Garamond" w:hAnsi="Garamond"/>
          <w:sz w:val="22"/>
          <w:szCs w:val="22"/>
        </w:rPr>
        <w:t xml:space="preserve"> and the InterVISTAS report via its </w:t>
      </w:r>
      <w:r w:rsidRPr="009176CB">
        <w:rPr>
          <w:rFonts w:ascii="Garamond" w:hAnsi="Garamond"/>
          <w:i/>
          <w:sz w:val="22"/>
          <w:szCs w:val="22"/>
        </w:rPr>
        <w:t>Rate Review Task Force</w:t>
      </w:r>
      <w:r w:rsidRPr="009176CB">
        <w:rPr>
          <w:rFonts w:ascii="Garamond" w:hAnsi="Garamond"/>
          <w:sz w:val="22"/>
          <w:szCs w:val="22"/>
        </w:rPr>
        <w:t>.</w:t>
      </w:r>
      <w:r>
        <w:rPr>
          <w:rFonts w:ascii="Garamond" w:hAnsi="Garamond"/>
          <w:sz w:val="22"/>
          <w:szCs w:val="22"/>
        </w:rPr>
        <w:t xml:space="preserve">  </w:t>
      </w:r>
      <w:bookmarkStart w:id="0" w:name="_GoBack"/>
      <w:bookmarkEnd w:id="0"/>
    </w:p>
    <w:sectPr w:rsidR="00F24DD0" w:rsidRPr="007B23E6" w:rsidSect="000B29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4836" w14:textId="77777777" w:rsidR="00816F13" w:rsidRDefault="00816F13" w:rsidP="000E38CE">
      <w:r>
        <w:separator/>
      </w:r>
    </w:p>
  </w:endnote>
  <w:endnote w:type="continuationSeparator" w:id="0">
    <w:p w14:paraId="5E5009AB" w14:textId="77777777" w:rsidR="00816F13" w:rsidRDefault="00816F13" w:rsidP="000E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583253"/>
      <w:docPartObj>
        <w:docPartGallery w:val="Page Numbers (Bottom of Page)"/>
        <w:docPartUnique/>
      </w:docPartObj>
    </w:sdtPr>
    <w:sdtEndPr>
      <w:rPr>
        <w:rFonts w:ascii="Arial" w:hAnsi="Arial" w:cs="Arial"/>
        <w:noProof/>
        <w:sz w:val="20"/>
        <w:szCs w:val="20"/>
      </w:rPr>
    </w:sdtEndPr>
    <w:sdtContent>
      <w:p w14:paraId="04E7706D" w14:textId="77777777" w:rsidR="00C409EF" w:rsidRPr="00C409EF" w:rsidRDefault="00C409EF">
        <w:pPr>
          <w:pStyle w:val="Footer"/>
          <w:rPr>
            <w:rFonts w:ascii="Arial" w:hAnsi="Arial" w:cs="Arial"/>
            <w:sz w:val="20"/>
            <w:szCs w:val="20"/>
          </w:rPr>
        </w:pPr>
        <w:r w:rsidRPr="00C409EF">
          <w:rPr>
            <w:rFonts w:ascii="Arial" w:hAnsi="Arial" w:cs="Arial"/>
            <w:sz w:val="20"/>
            <w:szCs w:val="20"/>
          </w:rPr>
          <w:fldChar w:fldCharType="begin"/>
        </w:r>
        <w:r w:rsidRPr="00C409EF">
          <w:rPr>
            <w:rFonts w:ascii="Arial" w:hAnsi="Arial" w:cs="Arial"/>
            <w:sz w:val="20"/>
            <w:szCs w:val="20"/>
          </w:rPr>
          <w:instrText xml:space="preserve"> PAGE   \* MERGEFORMAT </w:instrText>
        </w:r>
        <w:r w:rsidRPr="00C409EF">
          <w:rPr>
            <w:rFonts w:ascii="Arial" w:hAnsi="Arial" w:cs="Arial"/>
            <w:sz w:val="20"/>
            <w:szCs w:val="20"/>
          </w:rPr>
          <w:fldChar w:fldCharType="separate"/>
        </w:r>
        <w:r w:rsidRPr="00C409EF">
          <w:rPr>
            <w:rFonts w:ascii="Arial" w:hAnsi="Arial" w:cs="Arial"/>
            <w:noProof/>
            <w:sz w:val="20"/>
            <w:szCs w:val="20"/>
          </w:rPr>
          <w:t>2</w:t>
        </w:r>
        <w:r w:rsidRPr="00C409EF">
          <w:rPr>
            <w:rFonts w:ascii="Arial" w:hAnsi="Arial" w:cs="Arial"/>
            <w:noProof/>
            <w:sz w:val="20"/>
            <w:szCs w:val="20"/>
          </w:rPr>
          <w:fldChar w:fldCharType="end"/>
        </w:r>
        <w:r w:rsidRPr="00C409EF">
          <w:rPr>
            <w:rFonts w:ascii="Arial" w:hAnsi="Arial" w:cs="Arial"/>
            <w:noProof/>
            <w:sz w:val="20"/>
            <w:szCs w:val="20"/>
          </w:rPr>
          <w:t xml:space="preserve"> </w:t>
        </w:r>
        <w:r>
          <w:rPr>
            <w:rFonts w:ascii="Arial" w:hAnsi="Arial" w:cs="Arial"/>
            <w:noProof/>
            <w:sz w:val="20"/>
            <w:szCs w:val="20"/>
          </w:rPr>
          <w:t xml:space="preserve">                                                                                                                                                    </w:t>
        </w:r>
        <w:r w:rsidRPr="00C409EF">
          <w:rPr>
            <w:rFonts w:ascii="Arial" w:hAnsi="Arial" w:cs="Arial"/>
            <w:noProof/>
            <w:sz w:val="20"/>
            <w:szCs w:val="20"/>
          </w:rPr>
          <w:t>June 2018</w:t>
        </w:r>
      </w:p>
    </w:sdtContent>
  </w:sdt>
  <w:p w14:paraId="3DD0AF2F" w14:textId="77777777" w:rsidR="00431AF8" w:rsidRPr="0049545B" w:rsidRDefault="00431AF8" w:rsidP="007B23E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564D" w14:textId="77777777" w:rsidR="00816F13" w:rsidRDefault="00816F13" w:rsidP="000E38CE">
      <w:r>
        <w:separator/>
      </w:r>
    </w:p>
  </w:footnote>
  <w:footnote w:type="continuationSeparator" w:id="0">
    <w:p w14:paraId="63922CB6" w14:textId="77777777" w:rsidR="00816F13" w:rsidRDefault="00816F13" w:rsidP="000E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1E3"/>
    <w:multiLevelType w:val="multilevel"/>
    <w:tmpl w:val="B358C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1ACA"/>
    <w:multiLevelType w:val="hybridMultilevel"/>
    <w:tmpl w:val="D76E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6ECA"/>
    <w:multiLevelType w:val="hybridMultilevel"/>
    <w:tmpl w:val="F3301C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F21FED"/>
    <w:multiLevelType w:val="hybridMultilevel"/>
    <w:tmpl w:val="FFC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91252"/>
    <w:multiLevelType w:val="hybridMultilevel"/>
    <w:tmpl w:val="0E3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9585E"/>
    <w:multiLevelType w:val="hybridMultilevel"/>
    <w:tmpl w:val="3718DD42"/>
    <w:lvl w:ilvl="0" w:tplc="89D4FBEC">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A9029D"/>
    <w:multiLevelType w:val="multilevel"/>
    <w:tmpl w:val="BF6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BB2183"/>
    <w:multiLevelType w:val="hybridMultilevel"/>
    <w:tmpl w:val="AE627C74"/>
    <w:lvl w:ilvl="0" w:tplc="4D0E80C6">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03556C"/>
    <w:multiLevelType w:val="hybridMultilevel"/>
    <w:tmpl w:val="8870A588"/>
    <w:lvl w:ilvl="0" w:tplc="19F654DA">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4"/>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E8"/>
    <w:rsid w:val="000009A8"/>
    <w:rsid w:val="00061576"/>
    <w:rsid w:val="00086B8B"/>
    <w:rsid w:val="000B293A"/>
    <w:rsid w:val="000D726D"/>
    <w:rsid w:val="000E0A85"/>
    <w:rsid w:val="000E38CE"/>
    <w:rsid w:val="000E4100"/>
    <w:rsid w:val="000F2B75"/>
    <w:rsid w:val="000F7A6E"/>
    <w:rsid w:val="0014069D"/>
    <w:rsid w:val="001822E8"/>
    <w:rsid w:val="001C0550"/>
    <w:rsid w:val="001F1A64"/>
    <w:rsid w:val="00255756"/>
    <w:rsid w:val="00266DD4"/>
    <w:rsid w:val="00280D4F"/>
    <w:rsid w:val="0034342A"/>
    <w:rsid w:val="003721CB"/>
    <w:rsid w:val="00377A20"/>
    <w:rsid w:val="003F212C"/>
    <w:rsid w:val="00400A39"/>
    <w:rsid w:val="00426757"/>
    <w:rsid w:val="00431AF8"/>
    <w:rsid w:val="00456DB4"/>
    <w:rsid w:val="00482389"/>
    <w:rsid w:val="0049545B"/>
    <w:rsid w:val="004C2036"/>
    <w:rsid w:val="004D0C60"/>
    <w:rsid w:val="005075E1"/>
    <w:rsid w:val="005111F9"/>
    <w:rsid w:val="0051636C"/>
    <w:rsid w:val="00525D8C"/>
    <w:rsid w:val="00546D3C"/>
    <w:rsid w:val="00594C5D"/>
    <w:rsid w:val="005A1F25"/>
    <w:rsid w:val="00610699"/>
    <w:rsid w:val="00612B24"/>
    <w:rsid w:val="00652839"/>
    <w:rsid w:val="00676F8F"/>
    <w:rsid w:val="0068152D"/>
    <w:rsid w:val="0069436A"/>
    <w:rsid w:val="006A1EB1"/>
    <w:rsid w:val="00700E5C"/>
    <w:rsid w:val="007031F4"/>
    <w:rsid w:val="007236CD"/>
    <w:rsid w:val="007477E1"/>
    <w:rsid w:val="00754277"/>
    <w:rsid w:val="007867B6"/>
    <w:rsid w:val="00790A75"/>
    <w:rsid w:val="0079356B"/>
    <w:rsid w:val="007A0F79"/>
    <w:rsid w:val="007B23E6"/>
    <w:rsid w:val="007C51A6"/>
    <w:rsid w:val="007E1071"/>
    <w:rsid w:val="007E38C4"/>
    <w:rsid w:val="007F554C"/>
    <w:rsid w:val="00816F13"/>
    <w:rsid w:val="00820FB7"/>
    <w:rsid w:val="00832674"/>
    <w:rsid w:val="00852E1A"/>
    <w:rsid w:val="008C7541"/>
    <w:rsid w:val="008F01C6"/>
    <w:rsid w:val="009176CB"/>
    <w:rsid w:val="00920778"/>
    <w:rsid w:val="00941E7D"/>
    <w:rsid w:val="00963D15"/>
    <w:rsid w:val="00965CE7"/>
    <w:rsid w:val="00967335"/>
    <w:rsid w:val="009D5891"/>
    <w:rsid w:val="009E4CF9"/>
    <w:rsid w:val="009E7AC6"/>
    <w:rsid w:val="00A053AE"/>
    <w:rsid w:val="00A06FBC"/>
    <w:rsid w:val="00A17523"/>
    <w:rsid w:val="00A3101D"/>
    <w:rsid w:val="00A41192"/>
    <w:rsid w:val="00A43671"/>
    <w:rsid w:val="00A45047"/>
    <w:rsid w:val="00A65898"/>
    <w:rsid w:val="00A72860"/>
    <w:rsid w:val="00A73FFC"/>
    <w:rsid w:val="00AF44FC"/>
    <w:rsid w:val="00AF4FD8"/>
    <w:rsid w:val="00B01295"/>
    <w:rsid w:val="00B27DF5"/>
    <w:rsid w:val="00B85A90"/>
    <w:rsid w:val="00B9088C"/>
    <w:rsid w:val="00BB6856"/>
    <w:rsid w:val="00BF22FC"/>
    <w:rsid w:val="00C04E09"/>
    <w:rsid w:val="00C3366E"/>
    <w:rsid w:val="00C35507"/>
    <w:rsid w:val="00C409EF"/>
    <w:rsid w:val="00C96B5D"/>
    <w:rsid w:val="00C96ED0"/>
    <w:rsid w:val="00CB5CD4"/>
    <w:rsid w:val="00CC2FCE"/>
    <w:rsid w:val="00D15055"/>
    <w:rsid w:val="00D31177"/>
    <w:rsid w:val="00D32C98"/>
    <w:rsid w:val="00D663C4"/>
    <w:rsid w:val="00D80891"/>
    <w:rsid w:val="00DA0848"/>
    <w:rsid w:val="00DB01CC"/>
    <w:rsid w:val="00DD01F3"/>
    <w:rsid w:val="00DD4093"/>
    <w:rsid w:val="00E369A9"/>
    <w:rsid w:val="00E369EF"/>
    <w:rsid w:val="00E60297"/>
    <w:rsid w:val="00E74A11"/>
    <w:rsid w:val="00E9329E"/>
    <w:rsid w:val="00EC7A01"/>
    <w:rsid w:val="00EC7E4E"/>
    <w:rsid w:val="00F01963"/>
    <w:rsid w:val="00F24DD0"/>
    <w:rsid w:val="00F56BFB"/>
    <w:rsid w:val="00F957AE"/>
    <w:rsid w:val="00FB46A2"/>
    <w:rsid w:val="00FC7C83"/>
    <w:rsid w:val="00FD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652B5"/>
  <w15:docId w15:val="{DAE6B836-BF5D-49F6-AE5C-A3574CE3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822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E8"/>
    <w:rPr>
      <w:color w:val="0563C1"/>
      <w:u w:val="single"/>
    </w:rPr>
  </w:style>
  <w:style w:type="paragraph" w:styleId="ListParagraph">
    <w:name w:val="List Paragraph"/>
    <w:basedOn w:val="Normal"/>
    <w:uiPriority w:val="34"/>
    <w:qFormat/>
    <w:rsid w:val="001822E8"/>
    <w:pPr>
      <w:ind w:left="720"/>
    </w:pPr>
  </w:style>
  <w:style w:type="paragraph" w:styleId="BalloonText">
    <w:name w:val="Balloon Text"/>
    <w:basedOn w:val="Normal"/>
    <w:link w:val="BalloonTextChar"/>
    <w:uiPriority w:val="99"/>
    <w:semiHidden/>
    <w:unhideWhenUsed/>
    <w:rsid w:val="0072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CD"/>
    <w:rPr>
      <w:rFonts w:ascii="Segoe UI" w:hAnsi="Segoe UI" w:cs="Segoe UI"/>
      <w:sz w:val="18"/>
      <w:szCs w:val="18"/>
    </w:rPr>
  </w:style>
  <w:style w:type="paragraph" w:styleId="Header">
    <w:name w:val="header"/>
    <w:basedOn w:val="Normal"/>
    <w:link w:val="HeaderChar"/>
    <w:uiPriority w:val="99"/>
    <w:unhideWhenUsed/>
    <w:rsid w:val="000E38CE"/>
    <w:pPr>
      <w:tabs>
        <w:tab w:val="center" w:pos="4680"/>
        <w:tab w:val="right" w:pos="9360"/>
      </w:tabs>
    </w:pPr>
  </w:style>
  <w:style w:type="character" w:customStyle="1" w:styleId="HeaderChar">
    <w:name w:val="Header Char"/>
    <w:basedOn w:val="DefaultParagraphFont"/>
    <w:link w:val="Header"/>
    <w:uiPriority w:val="99"/>
    <w:rsid w:val="000E38CE"/>
    <w:rPr>
      <w:rFonts w:ascii="Calibri" w:hAnsi="Calibri" w:cs="Times New Roman"/>
    </w:rPr>
  </w:style>
  <w:style w:type="paragraph" w:styleId="Footer">
    <w:name w:val="footer"/>
    <w:basedOn w:val="Normal"/>
    <w:link w:val="FooterChar"/>
    <w:uiPriority w:val="99"/>
    <w:unhideWhenUsed/>
    <w:rsid w:val="000E38CE"/>
    <w:pPr>
      <w:tabs>
        <w:tab w:val="center" w:pos="4680"/>
        <w:tab w:val="right" w:pos="9360"/>
      </w:tabs>
    </w:pPr>
  </w:style>
  <w:style w:type="character" w:customStyle="1" w:styleId="FooterChar">
    <w:name w:val="Footer Char"/>
    <w:basedOn w:val="DefaultParagraphFont"/>
    <w:link w:val="Footer"/>
    <w:uiPriority w:val="99"/>
    <w:rsid w:val="000E38CE"/>
    <w:rPr>
      <w:rFonts w:ascii="Calibri" w:hAnsi="Calibri" w:cs="Times New Roman"/>
    </w:rPr>
  </w:style>
  <w:style w:type="paragraph" w:styleId="NoSpacing">
    <w:name w:val="No Spacing"/>
    <w:uiPriority w:val="1"/>
    <w:qFormat/>
    <w:rsid w:val="007E1071"/>
    <w:pPr>
      <w:spacing w:after="0" w:line="240" w:lineRule="auto"/>
    </w:pPr>
    <w:rPr>
      <w:sz w:val="24"/>
      <w:szCs w:val="24"/>
    </w:rPr>
  </w:style>
  <w:style w:type="paragraph" w:customStyle="1" w:styleId="p1">
    <w:name w:val="p1"/>
    <w:basedOn w:val="Normal"/>
    <w:rsid w:val="00A43671"/>
    <w:rPr>
      <w:sz w:val="23"/>
      <w:szCs w:val="23"/>
    </w:rPr>
  </w:style>
  <w:style w:type="character" w:customStyle="1" w:styleId="s1">
    <w:name w:val="s1"/>
    <w:basedOn w:val="DefaultParagraphFont"/>
    <w:rsid w:val="00A43671"/>
  </w:style>
  <w:style w:type="paragraph" w:customStyle="1" w:styleId="p2">
    <w:name w:val="p2"/>
    <w:basedOn w:val="Normal"/>
    <w:rsid w:val="007867B6"/>
    <w:rPr>
      <w:color w:val="1E497D"/>
      <w:sz w:val="23"/>
      <w:szCs w:val="23"/>
    </w:rPr>
  </w:style>
  <w:style w:type="character" w:customStyle="1" w:styleId="s2">
    <w:name w:val="s2"/>
    <w:basedOn w:val="DefaultParagraphFont"/>
    <w:rsid w:val="007867B6"/>
    <w:rPr>
      <w:shd w:val="clear" w:color="auto" w:fill="FFFB01"/>
    </w:rPr>
  </w:style>
  <w:style w:type="character" w:customStyle="1" w:styleId="s4">
    <w:name w:val="s4"/>
    <w:basedOn w:val="DefaultParagraphFont"/>
    <w:rsid w:val="007867B6"/>
  </w:style>
  <w:style w:type="character" w:styleId="CommentReference">
    <w:name w:val="annotation reference"/>
    <w:basedOn w:val="DefaultParagraphFont"/>
    <w:uiPriority w:val="99"/>
    <w:semiHidden/>
    <w:unhideWhenUsed/>
    <w:rsid w:val="007A0F79"/>
    <w:rPr>
      <w:sz w:val="18"/>
      <w:szCs w:val="18"/>
    </w:rPr>
  </w:style>
  <w:style w:type="paragraph" w:styleId="CommentText">
    <w:name w:val="annotation text"/>
    <w:basedOn w:val="Normal"/>
    <w:link w:val="CommentTextChar"/>
    <w:uiPriority w:val="99"/>
    <w:semiHidden/>
    <w:unhideWhenUsed/>
    <w:rsid w:val="007A0F79"/>
    <w:rPr>
      <w:sz w:val="24"/>
      <w:szCs w:val="24"/>
    </w:rPr>
  </w:style>
  <w:style w:type="character" w:customStyle="1" w:styleId="CommentTextChar">
    <w:name w:val="Comment Text Char"/>
    <w:basedOn w:val="DefaultParagraphFont"/>
    <w:link w:val="CommentText"/>
    <w:uiPriority w:val="99"/>
    <w:semiHidden/>
    <w:rsid w:val="007A0F79"/>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A0F79"/>
    <w:rPr>
      <w:b/>
      <w:bCs/>
      <w:sz w:val="20"/>
      <w:szCs w:val="20"/>
    </w:rPr>
  </w:style>
  <w:style w:type="character" w:customStyle="1" w:styleId="CommentSubjectChar">
    <w:name w:val="Comment Subject Char"/>
    <w:basedOn w:val="CommentTextChar"/>
    <w:link w:val="CommentSubject"/>
    <w:uiPriority w:val="99"/>
    <w:semiHidden/>
    <w:rsid w:val="007A0F79"/>
    <w:rPr>
      <w:rFonts w:ascii="Calibri" w:hAnsi="Calibri" w:cs="Times New Roman"/>
      <w:b/>
      <w:bCs/>
      <w:sz w:val="20"/>
      <w:szCs w:val="20"/>
    </w:rPr>
  </w:style>
  <w:style w:type="paragraph" w:styleId="Revision">
    <w:name w:val="Revision"/>
    <w:hidden/>
    <w:uiPriority w:val="99"/>
    <w:semiHidden/>
    <w:rsid w:val="007A0F79"/>
    <w:pPr>
      <w:spacing w:after="0" w:line="240" w:lineRule="auto"/>
    </w:pPr>
    <w:rPr>
      <w:rFonts w:ascii="Calibri" w:hAnsi="Calibri" w:cs="Times New Roman"/>
    </w:rPr>
  </w:style>
  <w:style w:type="paragraph" w:customStyle="1" w:styleId="Default">
    <w:name w:val="Default"/>
    <w:rsid w:val="00A45047"/>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semiHidden/>
    <w:unhideWhenUsed/>
    <w:rsid w:val="003721CB"/>
    <w:rPr>
      <w:color w:val="2B579A"/>
      <w:shd w:val="clear" w:color="auto" w:fill="E6E6E6"/>
    </w:rPr>
  </w:style>
  <w:style w:type="character" w:styleId="UnresolvedMention">
    <w:name w:val="Unresolved Mention"/>
    <w:basedOn w:val="DefaultParagraphFont"/>
    <w:uiPriority w:val="99"/>
    <w:semiHidden/>
    <w:unhideWhenUsed/>
    <w:rsid w:val="006815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107">
      <w:bodyDiv w:val="1"/>
      <w:marLeft w:val="0"/>
      <w:marRight w:val="0"/>
      <w:marTop w:val="0"/>
      <w:marBottom w:val="0"/>
      <w:divBdr>
        <w:top w:val="none" w:sz="0" w:space="0" w:color="auto"/>
        <w:left w:val="none" w:sz="0" w:space="0" w:color="auto"/>
        <w:bottom w:val="none" w:sz="0" w:space="0" w:color="auto"/>
        <w:right w:val="none" w:sz="0" w:space="0" w:color="auto"/>
      </w:divBdr>
    </w:div>
    <w:div w:id="363990079">
      <w:bodyDiv w:val="1"/>
      <w:marLeft w:val="0"/>
      <w:marRight w:val="0"/>
      <w:marTop w:val="0"/>
      <w:marBottom w:val="0"/>
      <w:divBdr>
        <w:top w:val="none" w:sz="0" w:space="0" w:color="auto"/>
        <w:left w:val="none" w:sz="0" w:space="0" w:color="auto"/>
        <w:bottom w:val="none" w:sz="0" w:space="0" w:color="auto"/>
        <w:right w:val="none" w:sz="0" w:space="0" w:color="auto"/>
      </w:divBdr>
    </w:div>
    <w:div w:id="971405673">
      <w:bodyDiv w:val="1"/>
      <w:marLeft w:val="0"/>
      <w:marRight w:val="0"/>
      <w:marTop w:val="0"/>
      <w:marBottom w:val="0"/>
      <w:divBdr>
        <w:top w:val="none" w:sz="0" w:space="0" w:color="auto"/>
        <w:left w:val="none" w:sz="0" w:space="0" w:color="auto"/>
        <w:bottom w:val="none" w:sz="0" w:space="0" w:color="auto"/>
        <w:right w:val="none" w:sz="0" w:space="0" w:color="auto"/>
      </w:divBdr>
    </w:div>
    <w:div w:id="1060249743">
      <w:bodyDiv w:val="1"/>
      <w:marLeft w:val="0"/>
      <w:marRight w:val="0"/>
      <w:marTop w:val="0"/>
      <w:marBottom w:val="0"/>
      <w:divBdr>
        <w:top w:val="none" w:sz="0" w:space="0" w:color="auto"/>
        <w:left w:val="none" w:sz="0" w:space="0" w:color="auto"/>
        <w:bottom w:val="none" w:sz="0" w:space="0" w:color="auto"/>
        <w:right w:val="none" w:sz="0" w:space="0" w:color="auto"/>
      </w:divBdr>
    </w:div>
    <w:div w:id="14783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b.gov/stb/elibrary/IndependentStud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ilvoices.org/wp-content/uploads/EP-733-Decision.pdf" TargetMode="External"/><Relationship Id="rId5" Type="http://schemas.openxmlformats.org/officeDocument/2006/relationships/footnotes" Target="footnotes.xml"/><Relationship Id="rId10" Type="http://schemas.openxmlformats.org/officeDocument/2006/relationships/hyperlink" Target="https://www.stb.gov/newsrels.nsf/WEBUNID/EFEEE3B0A71EC4A98525827800541CF1" TargetMode="External"/><Relationship Id="rId4" Type="http://schemas.openxmlformats.org/officeDocument/2006/relationships/webSettings" Target="webSettings.xml"/><Relationship Id="rId9" Type="http://schemas.openxmlformats.org/officeDocument/2006/relationships/hyperlink" Target="http://www.trb.org/Main/Blurbs/17273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Ann@annwarnerllc.com</cp:lastModifiedBy>
  <cp:revision>2</cp:revision>
  <cp:lastPrinted>2018-05-30T18:48:00Z</cp:lastPrinted>
  <dcterms:created xsi:type="dcterms:W3CDTF">2018-05-30T22:19:00Z</dcterms:created>
  <dcterms:modified xsi:type="dcterms:W3CDTF">2018-05-30T22:19:00Z</dcterms:modified>
</cp:coreProperties>
</file>