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45717" w14:textId="77777777" w:rsidR="007D5891" w:rsidRDefault="00EC473B" w:rsidP="00EC473B">
      <w:pPr>
        <w:jc w:val="center"/>
      </w:pPr>
      <w:r>
        <w:rPr>
          <w:noProof/>
        </w:rPr>
        <w:drawing>
          <wp:inline distT="0" distB="0" distL="0" distR="0" wp14:anchorId="5C192279" wp14:editId="4B4C5366">
            <wp:extent cx="4286250" cy="834390"/>
            <wp:effectExtent l="0" t="0" r="0" b="3810"/>
            <wp:docPr id="1" name="Picture 1" descr="cid:image004.jpg@01D0E497.8017EA70"/>
            <wp:cNvGraphicFramePr/>
            <a:graphic xmlns:a="http://schemas.openxmlformats.org/drawingml/2006/main">
              <a:graphicData uri="http://schemas.openxmlformats.org/drawingml/2006/picture">
                <pic:pic xmlns:pic="http://schemas.openxmlformats.org/drawingml/2006/picture">
                  <pic:nvPicPr>
                    <pic:cNvPr id="1" name="Picture 1" descr="cid:image004.jpg@01D0E497.8017EA7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86250" cy="834390"/>
                    </a:xfrm>
                    <a:prstGeom prst="rect">
                      <a:avLst/>
                    </a:prstGeom>
                    <a:noFill/>
                    <a:ln>
                      <a:noFill/>
                    </a:ln>
                  </pic:spPr>
                </pic:pic>
              </a:graphicData>
            </a:graphic>
          </wp:inline>
        </w:drawing>
      </w:r>
    </w:p>
    <w:p w14:paraId="7CEDE5D8" w14:textId="77777777" w:rsidR="00C62BE4" w:rsidRDefault="00C62BE4" w:rsidP="004E3AC4">
      <w:pPr>
        <w:pStyle w:val="NoSpacing"/>
        <w:jc w:val="center"/>
        <w:rPr>
          <w:rFonts w:ascii="Garamond" w:hAnsi="Garamond" w:cs="Times New Roman"/>
          <w:b/>
          <w:sz w:val="28"/>
          <w:szCs w:val="28"/>
        </w:rPr>
      </w:pPr>
    </w:p>
    <w:p w14:paraId="4D977D2A" w14:textId="77777777" w:rsidR="00C62BE4" w:rsidRDefault="00C62BE4" w:rsidP="004E3AC4">
      <w:pPr>
        <w:pStyle w:val="NoSpacing"/>
        <w:jc w:val="center"/>
        <w:rPr>
          <w:rFonts w:ascii="Garamond" w:hAnsi="Garamond" w:cs="Times New Roman"/>
          <w:b/>
          <w:sz w:val="28"/>
          <w:szCs w:val="28"/>
        </w:rPr>
      </w:pPr>
    </w:p>
    <w:p w14:paraId="47A98B19" w14:textId="77777777" w:rsidR="004E3AC4" w:rsidRPr="00A103E2" w:rsidRDefault="004E3AC4" w:rsidP="004E3AC4">
      <w:pPr>
        <w:pStyle w:val="NoSpacing"/>
        <w:jc w:val="center"/>
        <w:rPr>
          <w:rFonts w:ascii="Garamond" w:hAnsi="Garamond" w:cs="Times New Roman"/>
          <w:b/>
          <w:sz w:val="28"/>
          <w:szCs w:val="28"/>
        </w:rPr>
      </w:pPr>
      <w:r w:rsidRPr="00A103E2">
        <w:rPr>
          <w:rFonts w:ascii="Garamond" w:hAnsi="Garamond" w:cs="Times New Roman"/>
          <w:b/>
          <w:sz w:val="28"/>
          <w:szCs w:val="28"/>
        </w:rPr>
        <w:t>Competitive Switching</w:t>
      </w:r>
      <w:r w:rsidR="006970AE">
        <w:rPr>
          <w:rFonts w:ascii="Garamond" w:hAnsi="Garamond" w:cs="Times New Roman"/>
          <w:b/>
          <w:sz w:val="28"/>
          <w:szCs w:val="28"/>
        </w:rPr>
        <w:t xml:space="preserve"> (Access)</w:t>
      </w:r>
    </w:p>
    <w:p w14:paraId="4E4A2BED" w14:textId="77777777" w:rsidR="00A103E2" w:rsidRPr="00F03D81" w:rsidRDefault="00A103E2" w:rsidP="004E3AC4">
      <w:pPr>
        <w:pStyle w:val="NoSpacing"/>
        <w:rPr>
          <w:rFonts w:ascii="Garamond" w:hAnsi="Garamond" w:cs="Times New Roman"/>
          <w:color w:val="484C53"/>
        </w:rPr>
      </w:pPr>
    </w:p>
    <w:p w14:paraId="0E8407E1" w14:textId="77777777" w:rsidR="00830EE7" w:rsidRDefault="00830EE7" w:rsidP="004E3AC4">
      <w:pPr>
        <w:pStyle w:val="NoSpacing"/>
        <w:rPr>
          <w:rFonts w:ascii="Garamond" w:hAnsi="Garamond" w:cs="Times New Roman"/>
          <w:b/>
          <w:color w:val="0070C0"/>
          <w:sz w:val="24"/>
          <w:szCs w:val="24"/>
        </w:rPr>
      </w:pPr>
    </w:p>
    <w:p w14:paraId="7A2F01F9" w14:textId="77777777" w:rsidR="00830EE7" w:rsidRDefault="00830EE7" w:rsidP="004E3AC4">
      <w:pPr>
        <w:pStyle w:val="NoSpacing"/>
        <w:rPr>
          <w:rFonts w:ascii="Garamond" w:hAnsi="Garamond" w:cs="Times New Roman"/>
          <w:b/>
          <w:color w:val="0070C0"/>
          <w:sz w:val="24"/>
          <w:szCs w:val="24"/>
        </w:rPr>
      </w:pPr>
    </w:p>
    <w:p w14:paraId="786BB958" w14:textId="77777777" w:rsidR="004E3AC4" w:rsidRPr="00F03D81" w:rsidRDefault="004E3AC4" w:rsidP="004E3AC4">
      <w:pPr>
        <w:pStyle w:val="NoSpacing"/>
        <w:rPr>
          <w:rFonts w:ascii="Garamond" w:hAnsi="Garamond" w:cs="Times New Roman"/>
          <w:b/>
          <w:color w:val="0070C0"/>
          <w:sz w:val="24"/>
          <w:szCs w:val="24"/>
        </w:rPr>
      </w:pPr>
      <w:r w:rsidRPr="00F03D81">
        <w:rPr>
          <w:rFonts w:ascii="Garamond" w:hAnsi="Garamond" w:cs="Times New Roman"/>
          <w:b/>
          <w:color w:val="0070C0"/>
          <w:sz w:val="24"/>
          <w:szCs w:val="24"/>
        </w:rPr>
        <w:t>FRCA Position</w:t>
      </w:r>
    </w:p>
    <w:p w14:paraId="57B269F7" w14:textId="77777777" w:rsidR="00830EE7" w:rsidRDefault="004E3AC4" w:rsidP="004E3AC4">
      <w:pPr>
        <w:pStyle w:val="NoSpacing"/>
        <w:rPr>
          <w:rFonts w:ascii="Garamond" w:hAnsi="Garamond" w:cs="Times New Roman"/>
          <w:color w:val="484C53"/>
        </w:rPr>
      </w:pPr>
      <w:r w:rsidRPr="00F03D81">
        <w:rPr>
          <w:rFonts w:ascii="Garamond" w:hAnsi="Garamond" w:cs="Times New Roman"/>
          <w:color w:val="484C53"/>
        </w:rPr>
        <w:t xml:space="preserve">FRCA supports </w:t>
      </w:r>
      <w:r w:rsidR="00F71C1A" w:rsidRPr="00F03D81">
        <w:rPr>
          <w:rFonts w:ascii="Garamond" w:hAnsi="Garamond" w:cs="Times New Roman"/>
          <w:color w:val="484C53"/>
        </w:rPr>
        <w:t>allowing shippers with direct access to only one railroad to</w:t>
      </w:r>
      <w:r w:rsidR="00A83A1A">
        <w:rPr>
          <w:rFonts w:ascii="Garamond" w:hAnsi="Garamond" w:cs="Times New Roman"/>
          <w:color w:val="484C53"/>
        </w:rPr>
        <w:t xml:space="preserve"> have that carrier provide a</w:t>
      </w:r>
      <w:r w:rsidR="00F71C1A" w:rsidRPr="00F03D81">
        <w:rPr>
          <w:rFonts w:ascii="Garamond" w:hAnsi="Garamond" w:cs="Times New Roman"/>
          <w:color w:val="484C53"/>
        </w:rPr>
        <w:t xml:space="preserve"> “switch” </w:t>
      </w:r>
      <w:r w:rsidR="00A83A1A">
        <w:rPr>
          <w:rFonts w:ascii="Garamond" w:hAnsi="Garamond" w:cs="Times New Roman"/>
          <w:color w:val="484C53"/>
        </w:rPr>
        <w:t xml:space="preserve">for </w:t>
      </w:r>
      <w:r w:rsidR="00F71C1A" w:rsidRPr="00F03D81">
        <w:rPr>
          <w:rFonts w:ascii="Garamond" w:hAnsi="Garamond" w:cs="Times New Roman"/>
          <w:color w:val="484C53"/>
        </w:rPr>
        <w:t xml:space="preserve">a nearby rail carrier.  </w:t>
      </w:r>
    </w:p>
    <w:p w14:paraId="72981274" w14:textId="77777777" w:rsidR="00830EE7" w:rsidRDefault="00830EE7" w:rsidP="004E3AC4">
      <w:pPr>
        <w:pStyle w:val="NoSpacing"/>
        <w:rPr>
          <w:rFonts w:ascii="Garamond" w:hAnsi="Garamond" w:cs="Times New Roman"/>
          <w:color w:val="484C53"/>
        </w:rPr>
      </w:pPr>
    </w:p>
    <w:p w14:paraId="4F08D14B" w14:textId="77777777" w:rsidR="00830EE7" w:rsidRPr="007D6FBC" w:rsidRDefault="00830EE7" w:rsidP="004E3AC4">
      <w:pPr>
        <w:pStyle w:val="NoSpacing"/>
        <w:rPr>
          <w:rFonts w:ascii="Garamond" w:hAnsi="Garamond" w:cs="Times New Roman"/>
          <w:color w:val="484C53"/>
        </w:rPr>
      </w:pPr>
      <w:r w:rsidRPr="007D6FBC">
        <w:rPr>
          <w:rFonts w:ascii="Garamond" w:hAnsi="Garamond" w:cs="Times New Roman"/>
          <w:color w:val="484C53"/>
        </w:rPr>
        <w:t xml:space="preserve">FRCA supports the Surface Transportation Board’s (STB or Board) Notice of Proposed Rulemaking (NPRM) to determine the pros and cons of requiring railroads to provide the requested switching arrangements (Docket No. EP 711 (Sub No.-1), </w:t>
      </w:r>
      <w:r w:rsidRPr="007D6FBC">
        <w:rPr>
          <w:rFonts w:ascii="Garamond" w:hAnsi="Garamond" w:cs="Times New Roman"/>
          <w:i/>
          <w:iCs/>
          <w:color w:val="484C53"/>
          <w:u w:val="single"/>
        </w:rPr>
        <w:t>Reciprocal Switching)</w:t>
      </w:r>
      <w:r w:rsidRPr="007D6FBC">
        <w:rPr>
          <w:rFonts w:ascii="Garamond" w:hAnsi="Garamond" w:cs="Times New Roman"/>
          <w:color w:val="484C53"/>
        </w:rPr>
        <w:t xml:space="preserve">.  This NPRM was issued on July 27, 2016.  </w:t>
      </w:r>
    </w:p>
    <w:p w14:paraId="20520C7B" w14:textId="77777777" w:rsidR="00830EE7" w:rsidRPr="007D6FBC" w:rsidRDefault="00830EE7" w:rsidP="004E3AC4">
      <w:pPr>
        <w:pStyle w:val="NoSpacing"/>
        <w:rPr>
          <w:rFonts w:ascii="Garamond" w:hAnsi="Garamond" w:cs="Times New Roman"/>
          <w:color w:val="484C53"/>
        </w:rPr>
      </w:pPr>
    </w:p>
    <w:p w14:paraId="06B5832F" w14:textId="77777777" w:rsidR="004E3AC4" w:rsidRPr="00F03D81" w:rsidRDefault="00830EE7" w:rsidP="004E3AC4">
      <w:pPr>
        <w:pStyle w:val="NoSpacing"/>
        <w:rPr>
          <w:rFonts w:ascii="Garamond" w:hAnsi="Garamond" w:cs="Times New Roman"/>
          <w:color w:val="484C53"/>
        </w:rPr>
      </w:pPr>
      <w:r w:rsidRPr="007D6FBC">
        <w:rPr>
          <w:rFonts w:ascii="Garamond" w:hAnsi="Garamond" w:cs="Times New Roman"/>
          <w:color w:val="484C53"/>
        </w:rPr>
        <w:t xml:space="preserve">Moreover, </w:t>
      </w:r>
      <w:r w:rsidR="00F71C1A" w:rsidRPr="007D6FBC">
        <w:rPr>
          <w:rFonts w:ascii="Garamond" w:hAnsi="Garamond" w:cs="Times New Roman"/>
          <w:color w:val="484C53"/>
        </w:rPr>
        <w:t>FRCA is a</w:t>
      </w:r>
      <w:r w:rsidR="004E3AC4" w:rsidRPr="007D6FBC">
        <w:rPr>
          <w:rFonts w:ascii="Garamond" w:hAnsi="Garamond" w:cs="Times New Roman"/>
          <w:color w:val="484C53"/>
        </w:rPr>
        <w:t xml:space="preserve"> co-signer of the 201l National Industrial Transportation League </w:t>
      </w:r>
      <w:r w:rsidR="00931E1A" w:rsidRPr="007D6FBC">
        <w:rPr>
          <w:rFonts w:ascii="Garamond" w:hAnsi="Garamond" w:cs="Times New Roman"/>
          <w:color w:val="484C53"/>
        </w:rPr>
        <w:t xml:space="preserve">(NITL) </w:t>
      </w:r>
      <w:r w:rsidR="00226220" w:rsidRPr="007D6FBC">
        <w:rPr>
          <w:rFonts w:ascii="Garamond" w:hAnsi="Garamond" w:cs="Times New Roman"/>
          <w:color w:val="484C53"/>
        </w:rPr>
        <w:t>petition</w:t>
      </w:r>
      <w:r w:rsidR="00F71C1A" w:rsidRPr="007D6FBC">
        <w:rPr>
          <w:rFonts w:ascii="Garamond" w:hAnsi="Garamond" w:cs="Times New Roman"/>
          <w:color w:val="484C53"/>
        </w:rPr>
        <w:t xml:space="preserve"> filed with the STB allowing competitive switching</w:t>
      </w:r>
      <w:r w:rsidR="004E3AC4" w:rsidRPr="007D6FBC">
        <w:rPr>
          <w:rFonts w:ascii="Garamond" w:hAnsi="Garamond" w:cs="Times New Roman"/>
          <w:color w:val="484C53"/>
        </w:rPr>
        <w:t>.</w:t>
      </w:r>
    </w:p>
    <w:p w14:paraId="7C7653E6" w14:textId="77777777" w:rsidR="00CF3F61" w:rsidRPr="00F03D81" w:rsidRDefault="00CF3F61" w:rsidP="004E3AC4">
      <w:pPr>
        <w:pStyle w:val="NoSpacing"/>
        <w:rPr>
          <w:rFonts w:ascii="Garamond" w:hAnsi="Garamond" w:cs="Times New Roman"/>
          <w:color w:val="484C53"/>
        </w:rPr>
      </w:pPr>
    </w:p>
    <w:p w14:paraId="627D96BD" w14:textId="77777777" w:rsidR="00830EE7" w:rsidRDefault="00830EE7" w:rsidP="004E3AC4">
      <w:pPr>
        <w:pStyle w:val="NoSpacing"/>
        <w:rPr>
          <w:rFonts w:ascii="Garamond" w:hAnsi="Garamond" w:cs="Times New Roman"/>
          <w:b/>
          <w:color w:val="484C53"/>
          <w:sz w:val="24"/>
          <w:szCs w:val="24"/>
        </w:rPr>
      </w:pPr>
    </w:p>
    <w:p w14:paraId="070CB7FD" w14:textId="77777777" w:rsidR="004E3AC4" w:rsidRPr="00F03D81" w:rsidRDefault="004E3AC4" w:rsidP="004E3AC4">
      <w:pPr>
        <w:pStyle w:val="NoSpacing"/>
        <w:rPr>
          <w:rFonts w:ascii="Garamond" w:hAnsi="Garamond" w:cs="Times New Roman"/>
          <w:b/>
          <w:color w:val="484C53"/>
          <w:sz w:val="24"/>
          <w:szCs w:val="24"/>
        </w:rPr>
      </w:pPr>
      <w:r w:rsidRPr="00F03D81">
        <w:rPr>
          <w:rFonts w:ascii="Garamond" w:hAnsi="Garamond" w:cs="Times New Roman"/>
          <w:b/>
          <w:color w:val="484C53"/>
          <w:sz w:val="24"/>
          <w:szCs w:val="24"/>
        </w:rPr>
        <w:t>Issue Background</w:t>
      </w:r>
    </w:p>
    <w:p w14:paraId="0DFB2AE6" w14:textId="77777777" w:rsidR="004E3AC4" w:rsidRPr="00F03D81" w:rsidRDefault="004E3AC4" w:rsidP="004E3AC4">
      <w:pPr>
        <w:pStyle w:val="NoSpacing"/>
        <w:rPr>
          <w:rFonts w:ascii="Garamond" w:hAnsi="Garamond" w:cs="Times New Roman"/>
          <w:color w:val="484C53"/>
        </w:rPr>
      </w:pPr>
      <w:r w:rsidRPr="00F03D81">
        <w:rPr>
          <w:rFonts w:ascii="Garamond" w:hAnsi="Garamond" w:cs="Times New Roman"/>
          <w:color w:val="484C53"/>
        </w:rPr>
        <w:t xml:space="preserve">Since the U.S. Congress passed the </w:t>
      </w:r>
      <w:r w:rsidRPr="00F03D81">
        <w:rPr>
          <w:rFonts w:ascii="Garamond" w:hAnsi="Garamond" w:cs="Times New Roman"/>
          <w:b/>
          <w:i/>
          <w:iCs/>
          <w:color w:val="484C53"/>
        </w:rPr>
        <w:t>Staggers Rail Act of 1980</w:t>
      </w:r>
      <w:r w:rsidRPr="00F03D81">
        <w:rPr>
          <w:rFonts w:ascii="Garamond" w:hAnsi="Garamond" w:cs="Times New Roman"/>
          <w:color w:val="484C53"/>
        </w:rPr>
        <w:t xml:space="preserve"> (partially de-regulating the freight rail industry), the number of major or Class I freight railroads has declined from 40 to seven, with four essentially operating like regional duopolies controlling 90 percent of all traffic.</w:t>
      </w:r>
    </w:p>
    <w:p w14:paraId="77A95FB1" w14:textId="77777777" w:rsidR="004E3AC4" w:rsidRPr="00F03D81" w:rsidRDefault="004E3AC4" w:rsidP="004E3AC4">
      <w:pPr>
        <w:pStyle w:val="NoSpacing"/>
        <w:rPr>
          <w:rFonts w:ascii="Garamond" w:hAnsi="Garamond" w:cs="Times New Roman"/>
          <w:color w:val="484C53"/>
        </w:rPr>
      </w:pPr>
    </w:p>
    <w:p w14:paraId="37C8F499" w14:textId="77777777" w:rsidR="004E3AC4" w:rsidRPr="00F03D81" w:rsidRDefault="004E3AC4" w:rsidP="004E3AC4">
      <w:pPr>
        <w:pStyle w:val="NoSpacing"/>
        <w:rPr>
          <w:rFonts w:ascii="Garamond" w:hAnsi="Garamond" w:cs="Times New Roman"/>
          <w:color w:val="484C53"/>
        </w:rPr>
      </w:pPr>
      <w:r w:rsidRPr="00F03D81">
        <w:rPr>
          <w:rFonts w:ascii="Garamond" w:hAnsi="Garamond" w:cs="Times New Roman"/>
          <w:color w:val="484C53"/>
        </w:rPr>
        <w:t>While Congress included the concept of reciprocal shipping</w:t>
      </w:r>
      <w:r w:rsidR="00A83A1A">
        <w:rPr>
          <w:rFonts w:ascii="Garamond" w:hAnsi="Garamond" w:cs="Times New Roman"/>
          <w:color w:val="484C53"/>
        </w:rPr>
        <w:t xml:space="preserve"> and terminal trackage rights</w:t>
      </w:r>
      <w:r w:rsidRPr="00F03D81">
        <w:rPr>
          <w:rFonts w:ascii="Garamond" w:hAnsi="Garamond" w:cs="Times New Roman"/>
          <w:color w:val="484C53"/>
        </w:rPr>
        <w:t xml:space="preserve"> in the </w:t>
      </w:r>
      <w:r w:rsidRPr="00F03D81">
        <w:rPr>
          <w:rFonts w:ascii="Garamond" w:hAnsi="Garamond" w:cs="Times New Roman"/>
          <w:b/>
          <w:i/>
          <w:iCs/>
          <w:color w:val="484C53"/>
        </w:rPr>
        <w:t>Staggers Act</w:t>
      </w:r>
      <w:r w:rsidRPr="00F03D81">
        <w:rPr>
          <w:rFonts w:ascii="Garamond" w:hAnsi="Garamond" w:cs="Times New Roman"/>
          <w:b/>
          <w:i/>
          <w:color w:val="484C53"/>
        </w:rPr>
        <w:t>,</w:t>
      </w:r>
      <w:r w:rsidRPr="00F03D81">
        <w:rPr>
          <w:rFonts w:ascii="Garamond" w:hAnsi="Garamond" w:cs="Times New Roman"/>
          <w:color w:val="484C53"/>
        </w:rPr>
        <w:t xml:space="preserve"> the Interstate Commerce Commission (ICC and predecessor agency to the STB) actually made it more difficult for shippers to obtain competitive rail service. </w:t>
      </w:r>
    </w:p>
    <w:p w14:paraId="335C6F9E" w14:textId="77777777" w:rsidR="004E3AC4" w:rsidRPr="00F03D81" w:rsidRDefault="004E3AC4" w:rsidP="004E3AC4">
      <w:pPr>
        <w:pStyle w:val="NoSpacing"/>
        <w:rPr>
          <w:rFonts w:ascii="Garamond" w:hAnsi="Garamond" w:cs="Times New Roman"/>
          <w:color w:val="484C53"/>
        </w:rPr>
      </w:pPr>
    </w:p>
    <w:p w14:paraId="7C32D8A9" w14:textId="77777777" w:rsidR="004E3AC4" w:rsidRPr="00F03D81" w:rsidRDefault="004E3AC4" w:rsidP="004E3AC4">
      <w:pPr>
        <w:pStyle w:val="NoSpacing"/>
        <w:rPr>
          <w:rFonts w:ascii="Garamond" w:hAnsi="Garamond" w:cs="Times New Roman"/>
          <w:color w:val="484C53"/>
        </w:rPr>
      </w:pPr>
      <w:r w:rsidRPr="00F03D81">
        <w:rPr>
          <w:rFonts w:ascii="Garamond" w:hAnsi="Garamond" w:cs="Times New Roman"/>
          <w:color w:val="484C53"/>
        </w:rPr>
        <w:t xml:space="preserve">The NITL and other shipper groups, including FRCA’s predecessor organization, filed a petition in 2011 asking the STB to issue new rules allowing a captive rail shipper to </w:t>
      </w:r>
      <w:r w:rsidR="00A83A1A">
        <w:rPr>
          <w:rFonts w:ascii="Garamond" w:hAnsi="Garamond" w:cs="Times New Roman"/>
          <w:color w:val="484C53"/>
        </w:rPr>
        <w:t>have that carrier provide a</w:t>
      </w:r>
      <w:r w:rsidR="000B2F14">
        <w:rPr>
          <w:rFonts w:ascii="Garamond" w:hAnsi="Garamond" w:cs="Times New Roman"/>
          <w:color w:val="484C53"/>
        </w:rPr>
        <w:t xml:space="preserve"> </w:t>
      </w:r>
      <w:r w:rsidRPr="00F03D81">
        <w:rPr>
          <w:rFonts w:ascii="Garamond" w:hAnsi="Garamond" w:cs="Times New Roman"/>
          <w:color w:val="484C53"/>
        </w:rPr>
        <w:t xml:space="preserve">“switch” </w:t>
      </w:r>
      <w:r w:rsidR="00A83A1A">
        <w:rPr>
          <w:rFonts w:ascii="Garamond" w:hAnsi="Garamond" w:cs="Times New Roman"/>
          <w:color w:val="484C53"/>
        </w:rPr>
        <w:t xml:space="preserve">for </w:t>
      </w:r>
      <w:r w:rsidRPr="00F03D81">
        <w:rPr>
          <w:rFonts w:ascii="Garamond" w:hAnsi="Garamond" w:cs="Times New Roman"/>
          <w:color w:val="484C53"/>
        </w:rPr>
        <w:t xml:space="preserve">a nearby rail carrier where a shipper must show:  1) captivity; 2) lack of inter/intra-modal competition (RVC ratio of 240% or more or </w:t>
      </w:r>
      <w:r w:rsidR="00931E1A" w:rsidRPr="00F03D81">
        <w:rPr>
          <w:rFonts w:ascii="Garamond" w:hAnsi="Garamond" w:cs="Times New Roman"/>
          <w:color w:val="484C53"/>
        </w:rPr>
        <w:t xml:space="preserve">a </w:t>
      </w:r>
      <w:r w:rsidRPr="00F03D81">
        <w:rPr>
          <w:rFonts w:ascii="Garamond" w:hAnsi="Garamond" w:cs="Times New Roman"/>
          <w:color w:val="484C53"/>
        </w:rPr>
        <w:t>RR handles 75% of all traffic); 3) and reasonable distance to an</w:t>
      </w:r>
      <w:r w:rsidR="007D6FBC" w:rsidRPr="007D6FBC">
        <w:rPr>
          <w:rFonts w:ascii="Garamond" w:hAnsi="Garamond" w:cs="Times New Roman"/>
          <w:color w:val="484C53"/>
        </w:rPr>
        <w:t xml:space="preserve"> </w:t>
      </w:r>
      <w:r w:rsidR="007D6FBC" w:rsidRPr="00DF3293">
        <w:rPr>
          <w:rFonts w:ascii="Garamond" w:hAnsi="Garamond" w:cs="Times New Roman"/>
          <w:color w:val="484C53"/>
        </w:rPr>
        <w:t>reasonable distanc</w:t>
      </w:r>
      <w:r w:rsidR="007D6FBC">
        <w:rPr>
          <w:rFonts w:ascii="Garamond" w:hAnsi="Garamond" w:cs="Times New Roman"/>
          <w:color w:val="484C53"/>
        </w:rPr>
        <w:t xml:space="preserve">e to an interchange (30 miles).  </w:t>
      </w:r>
      <w:r w:rsidR="00931E1A" w:rsidRPr="00F03D81">
        <w:rPr>
          <w:rFonts w:ascii="Garamond" w:hAnsi="Garamond" w:cs="Times New Roman"/>
          <w:color w:val="484C53"/>
        </w:rPr>
        <w:t>This petition also stated that a</w:t>
      </w:r>
      <w:r w:rsidRPr="00F03D81">
        <w:rPr>
          <w:rFonts w:ascii="Garamond" w:hAnsi="Garamond" w:cs="Times New Roman"/>
          <w:color w:val="484C53"/>
        </w:rPr>
        <w:t xml:space="preserve"> </w:t>
      </w:r>
      <w:r w:rsidR="00931E1A" w:rsidRPr="00F03D81">
        <w:rPr>
          <w:rFonts w:ascii="Garamond" w:hAnsi="Garamond" w:cs="Times New Roman"/>
          <w:color w:val="484C53"/>
        </w:rPr>
        <w:t xml:space="preserve">RR </w:t>
      </w:r>
      <w:r w:rsidRPr="00F03D81">
        <w:rPr>
          <w:rFonts w:ascii="Garamond" w:hAnsi="Garamond" w:cs="Times New Roman"/>
          <w:color w:val="484C53"/>
        </w:rPr>
        <w:t>carrier could avoid switching if unsafe, infeasible or harmful to existing service</w:t>
      </w:r>
    </w:p>
    <w:p w14:paraId="45AECA8C" w14:textId="77777777" w:rsidR="004E3AC4" w:rsidRPr="00F03D81" w:rsidRDefault="004E3AC4" w:rsidP="004E3AC4">
      <w:pPr>
        <w:pStyle w:val="NoSpacing"/>
        <w:rPr>
          <w:rFonts w:ascii="Garamond" w:hAnsi="Garamond" w:cs="Times New Roman"/>
          <w:color w:val="484C53"/>
        </w:rPr>
      </w:pPr>
    </w:p>
    <w:p w14:paraId="5D9D4023" w14:textId="77777777" w:rsidR="004E3AC4" w:rsidRPr="00F03D81" w:rsidRDefault="00AC629E" w:rsidP="004E3AC4">
      <w:pPr>
        <w:pStyle w:val="NoSpacing"/>
        <w:rPr>
          <w:rFonts w:ascii="Garamond" w:hAnsi="Garamond" w:cs="Times New Roman"/>
          <w:color w:val="484C53"/>
        </w:rPr>
      </w:pPr>
      <w:r>
        <w:rPr>
          <w:rFonts w:ascii="Garamond" w:hAnsi="Garamond" w:cs="Times New Roman"/>
          <w:color w:val="484C53"/>
        </w:rPr>
        <w:t xml:space="preserve">FRCA concurs with the </w:t>
      </w:r>
      <w:r w:rsidR="004E3AC4" w:rsidRPr="00F03D81">
        <w:rPr>
          <w:rFonts w:ascii="Garamond" w:hAnsi="Garamond" w:cs="Times New Roman"/>
          <w:color w:val="484C53"/>
        </w:rPr>
        <w:t>NITL</w:t>
      </w:r>
      <w:r>
        <w:rPr>
          <w:rFonts w:ascii="Garamond" w:hAnsi="Garamond" w:cs="Times New Roman"/>
          <w:color w:val="484C53"/>
        </w:rPr>
        <w:t xml:space="preserve">’s view, as articulated in </w:t>
      </w:r>
      <w:r w:rsidR="004E3AC4" w:rsidRPr="00F03D81">
        <w:rPr>
          <w:rFonts w:ascii="Garamond" w:hAnsi="Garamond" w:cs="Times New Roman"/>
          <w:color w:val="484C53"/>
        </w:rPr>
        <w:t xml:space="preserve">its petition that STB’s longstanding competitive shipping rules and processes has been rendered meaningless.  </w:t>
      </w:r>
      <w:r w:rsidR="004E3AC4" w:rsidRPr="00F03D81">
        <w:rPr>
          <w:rFonts w:ascii="Garamond" w:hAnsi="Garamond" w:cs="Times New Roman"/>
          <w:color w:val="484C53"/>
          <w:u w:val="single"/>
        </w:rPr>
        <w:t xml:space="preserve">No shipper has attempted to obtain a reciprocal switching order for more than 15 years because of the burden of proving </w:t>
      </w:r>
      <w:r w:rsidR="00E65064">
        <w:rPr>
          <w:rFonts w:ascii="Garamond" w:hAnsi="Garamond" w:cs="Times New Roman"/>
          <w:color w:val="484C53"/>
          <w:u w:val="single"/>
        </w:rPr>
        <w:t>anticompetitive conduct</w:t>
      </w:r>
      <w:r w:rsidR="004E3AC4" w:rsidRPr="00F03D81">
        <w:rPr>
          <w:rFonts w:ascii="Garamond" w:hAnsi="Garamond" w:cs="Times New Roman"/>
          <w:color w:val="484C53"/>
          <w:u w:val="single"/>
        </w:rPr>
        <w:t xml:space="preserve"> under these STB procedures and the changed market conditions for both railroads and shippers during the past 30 years</w:t>
      </w:r>
      <w:r w:rsidR="004E3AC4" w:rsidRPr="00F03D81">
        <w:rPr>
          <w:rFonts w:ascii="Garamond" w:hAnsi="Garamond" w:cs="Times New Roman"/>
          <w:color w:val="484C53"/>
        </w:rPr>
        <w:t>.</w:t>
      </w:r>
    </w:p>
    <w:p w14:paraId="74B27267" w14:textId="77777777" w:rsidR="004E3AC4" w:rsidRPr="00F03D81" w:rsidRDefault="004E3AC4" w:rsidP="004E3AC4">
      <w:pPr>
        <w:pStyle w:val="NoSpacing"/>
        <w:rPr>
          <w:rFonts w:ascii="Garamond" w:hAnsi="Garamond" w:cs="Times New Roman"/>
          <w:color w:val="484C53"/>
        </w:rPr>
      </w:pPr>
    </w:p>
    <w:p w14:paraId="7CDBC4A3" w14:textId="77777777" w:rsidR="004E3AC4" w:rsidRPr="00F03D81" w:rsidRDefault="004E3AC4" w:rsidP="004E3AC4">
      <w:pPr>
        <w:pStyle w:val="NoSpacing"/>
        <w:rPr>
          <w:rFonts w:ascii="Garamond" w:hAnsi="Garamond" w:cs="Times New Roman"/>
          <w:color w:val="484C53"/>
        </w:rPr>
      </w:pPr>
      <w:r w:rsidRPr="00F03D81">
        <w:rPr>
          <w:rFonts w:ascii="Garamond" w:hAnsi="Garamond" w:cs="Times New Roman"/>
          <w:color w:val="484C53"/>
        </w:rPr>
        <w:t xml:space="preserve">The STB has the statutory authority – again dating back to the </w:t>
      </w:r>
      <w:r w:rsidRPr="00F03D81">
        <w:rPr>
          <w:rFonts w:ascii="Garamond" w:hAnsi="Garamond" w:cs="Times New Roman"/>
          <w:b/>
          <w:i/>
          <w:iCs/>
          <w:color w:val="484C53"/>
        </w:rPr>
        <w:t>Staggers Act</w:t>
      </w:r>
      <w:r w:rsidRPr="00F03D81">
        <w:rPr>
          <w:rFonts w:ascii="Garamond" w:hAnsi="Garamond" w:cs="Times New Roman"/>
          <w:color w:val="484C53"/>
        </w:rPr>
        <w:t xml:space="preserve"> – to modify its rules.  No additional </w:t>
      </w:r>
      <w:r w:rsidR="00931E1A" w:rsidRPr="00F03D81">
        <w:rPr>
          <w:rFonts w:ascii="Garamond" w:hAnsi="Garamond" w:cs="Times New Roman"/>
          <w:color w:val="484C53"/>
        </w:rPr>
        <w:t>C</w:t>
      </w:r>
      <w:r w:rsidRPr="00F03D81">
        <w:rPr>
          <w:rFonts w:ascii="Garamond" w:hAnsi="Garamond" w:cs="Times New Roman"/>
          <w:color w:val="484C53"/>
        </w:rPr>
        <w:t xml:space="preserve">ongressional action is necessary.  As such, the recently enacted </w:t>
      </w:r>
      <w:r w:rsidRPr="00F03D81">
        <w:rPr>
          <w:rFonts w:ascii="Garamond" w:hAnsi="Garamond" w:cs="Times New Roman"/>
          <w:b/>
          <w:i/>
          <w:iCs/>
          <w:color w:val="484C53"/>
        </w:rPr>
        <w:t>STB Reauthorization Act of 2015</w:t>
      </w:r>
      <w:r w:rsidRPr="00F03D81">
        <w:rPr>
          <w:rFonts w:ascii="Garamond" w:hAnsi="Garamond" w:cs="Times New Roman"/>
          <w:color w:val="484C53"/>
        </w:rPr>
        <w:t>, P.L. 114-110, is silent on this competitive access issue.</w:t>
      </w:r>
    </w:p>
    <w:p w14:paraId="16139EB9" w14:textId="77777777" w:rsidR="004E3AC4" w:rsidRPr="00F03D81" w:rsidRDefault="004E3AC4" w:rsidP="004E3AC4">
      <w:pPr>
        <w:pStyle w:val="NoSpacing"/>
        <w:rPr>
          <w:rFonts w:ascii="Garamond" w:hAnsi="Garamond" w:cs="Times New Roman"/>
          <w:color w:val="484C53"/>
        </w:rPr>
      </w:pPr>
    </w:p>
    <w:p w14:paraId="09BCDC47" w14:textId="77777777" w:rsidR="004E3AC4" w:rsidRDefault="004E3AC4" w:rsidP="004E3AC4">
      <w:pPr>
        <w:pStyle w:val="NoSpacing"/>
        <w:rPr>
          <w:rFonts w:ascii="Garamond" w:hAnsi="Garamond" w:cs="Times New Roman"/>
          <w:color w:val="484C53"/>
        </w:rPr>
      </w:pPr>
      <w:r w:rsidRPr="00F03D81">
        <w:rPr>
          <w:rFonts w:ascii="Garamond" w:hAnsi="Garamond" w:cs="Times New Roman"/>
          <w:color w:val="484C53"/>
        </w:rPr>
        <w:lastRenderedPageBreak/>
        <w:t>On July 27</w:t>
      </w:r>
      <w:r w:rsidR="00931E1A" w:rsidRPr="00F03D81">
        <w:rPr>
          <w:rFonts w:ascii="Garamond" w:hAnsi="Garamond" w:cs="Times New Roman"/>
          <w:color w:val="484C53"/>
        </w:rPr>
        <w:t xml:space="preserve">, </w:t>
      </w:r>
      <w:r w:rsidRPr="00F03D81">
        <w:rPr>
          <w:rFonts w:ascii="Garamond" w:hAnsi="Garamond" w:cs="Times New Roman"/>
          <w:color w:val="484C53"/>
        </w:rPr>
        <w:t xml:space="preserve">2016, the STB announced a </w:t>
      </w:r>
      <w:r w:rsidR="00931E1A" w:rsidRPr="00F03D81">
        <w:rPr>
          <w:rFonts w:ascii="Garamond" w:hAnsi="Garamond" w:cs="Times New Roman"/>
          <w:color w:val="484C53"/>
        </w:rPr>
        <w:t>N</w:t>
      </w:r>
      <w:r w:rsidRPr="00F03D81">
        <w:rPr>
          <w:rFonts w:ascii="Garamond" w:hAnsi="Garamond" w:cs="Times New Roman"/>
          <w:color w:val="484C53"/>
        </w:rPr>
        <w:t>otice of</w:t>
      </w:r>
      <w:r w:rsidR="00931E1A" w:rsidRPr="00F03D81">
        <w:rPr>
          <w:rFonts w:ascii="Garamond" w:hAnsi="Garamond" w:cs="Times New Roman"/>
          <w:color w:val="484C53"/>
        </w:rPr>
        <w:t xml:space="preserve"> P</w:t>
      </w:r>
      <w:r w:rsidRPr="00F03D81">
        <w:rPr>
          <w:rFonts w:ascii="Garamond" w:hAnsi="Garamond" w:cs="Times New Roman"/>
          <w:color w:val="484C53"/>
        </w:rPr>
        <w:t xml:space="preserve">roposed </w:t>
      </w:r>
      <w:r w:rsidR="00931E1A" w:rsidRPr="00F03D81">
        <w:rPr>
          <w:rFonts w:ascii="Garamond" w:hAnsi="Garamond" w:cs="Times New Roman"/>
          <w:color w:val="484C53"/>
        </w:rPr>
        <w:t>R</w:t>
      </w:r>
      <w:r w:rsidRPr="00F03D81">
        <w:rPr>
          <w:rFonts w:ascii="Garamond" w:hAnsi="Garamond" w:cs="Times New Roman"/>
          <w:color w:val="484C53"/>
        </w:rPr>
        <w:t xml:space="preserve">ulemaking (NPRM) to determine the pros and cons of requiring railroads to provide </w:t>
      </w:r>
      <w:r w:rsidR="00931E1A" w:rsidRPr="00F03D81">
        <w:rPr>
          <w:rFonts w:ascii="Garamond" w:hAnsi="Garamond" w:cs="Times New Roman"/>
          <w:color w:val="484C53"/>
        </w:rPr>
        <w:t xml:space="preserve">the </w:t>
      </w:r>
      <w:r w:rsidRPr="00F03D81">
        <w:rPr>
          <w:rFonts w:ascii="Garamond" w:hAnsi="Garamond" w:cs="Times New Roman"/>
          <w:color w:val="484C53"/>
        </w:rPr>
        <w:t xml:space="preserve">requested switching arrangements (Docket No. EP 711 (Sub No.-1), </w:t>
      </w:r>
      <w:r w:rsidRPr="00F03D81">
        <w:rPr>
          <w:rFonts w:ascii="Garamond" w:hAnsi="Garamond" w:cs="Times New Roman"/>
          <w:i/>
          <w:iCs/>
          <w:color w:val="484C53"/>
          <w:u w:val="single"/>
        </w:rPr>
        <w:t>Reciprocal Switching)</w:t>
      </w:r>
      <w:r w:rsidRPr="00F03D81">
        <w:rPr>
          <w:rFonts w:ascii="Garamond" w:hAnsi="Garamond" w:cs="Times New Roman"/>
          <w:color w:val="484C53"/>
        </w:rPr>
        <w:t xml:space="preserve">.  This </w:t>
      </w:r>
      <w:r w:rsidR="00931E1A" w:rsidRPr="00F03D81">
        <w:rPr>
          <w:rFonts w:ascii="Garamond" w:hAnsi="Garamond" w:cs="Times New Roman"/>
          <w:color w:val="484C53"/>
        </w:rPr>
        <w:t xml:space="preserve">STB </w:t>
      </w:r>
      <w:r w:rsidRPr="00F03D81">
        <w:rPr>
          <w:rFonts w:ascii="Garamond" w:hAnsi="Garamond" w:cs="Times New Roman"/>
          <w:color w:val="484C53"/>
        </w:rPr>
        <w:t xml:space="preserve">proposal would allow shippers with access to only a single rail line to request that </w:t>
      </w:r>
      <w:r w:rsidR="00E65064">
        <w:rPr>
          <w:rFonts w:ascii="Garamond" w:hAnsi="Garamond" w:cs="Times New Roman"/>
          <w:color w:val="484C53"/>
        </w:rPr>
        <w:t xml:space="preserve">carrier to provide a switch for </w:t>
      </w:r>
      <w:r w:rsidRPr="00F03D81">
        <w:rPr>
          <w:rFonts w:ascii="Garamond" w:hAnsi="Garamond" w:cs="Times New Roman"/>
          <w:color w:val="484C53"/>
        </w:rPr>
        <w:t xml:space="preserve">freight be moved by a nearby rail line.  </w:t>
      </w:r>
    </w:p>
    <w:p w14:paraId="2D5B44B2" w14:textId="77777777" w:rsidR="00A847ED" w:rsidRPr="00F03D81" w:rsidRDefault="00A847ED" w:rsidP="004E3AC4">
      <w:pPr>
        <w:pStyle w:val="NoSpacing"/>
        <w:rPr>
          <w:rFonts w:ascii="Garamond" w:hAnsi="Garamond" w:cs="Times New Roman"/>
          <w:color w:val="484C53"/>
        </w:rPr>
      </w:pPr>
    </w:p>
    <w:p w14:paraId="21671D49" w14:textId="77777777" w:rsidR="004E3AC4" w:rsidRPr="00F03D81" w:rsidRDefault="004E3AC4" w:rsidP="00F03D81">
      <w:pPr>
        <w:pStyle w:val="NoSpacing"/>
        <w:rPr>
          <w:rFonts w:ascii="Garamond" w:eastAsia="Times New Roman" w:hAnsi="Garamond" w:cs="Times New Roman"/>
          <w:color w:val="484C53"/>
        </w:rPr>
      </w:pPr>
      <w:r w:rsidRPr="00F03D81">
        <w:rPr>
          <w:rFonts w:ascii="Garamond" w:hAnsi="Garamond" w:cs="Times New Roman"/>
          <w:color w:val="484C53"/>
        </w:rPr>
        <w:t>In its July 27</w:t>
      </w:r>
      <w:r w:rsidR="00931E1A" w:rsidRPr="00F03D81">
        <w:rPr>
          <w:rFonts w:ascii="Garamond" w:hAnsi="Garamond" w:cs="Times New Roman"/>
          <w:color w:val="484C53"/>
        </w:rPr>
        <w:t xml:space="preserve">, 2016 </w:t>
      </w:r>
      <w:r w:rsidRPr="00F03D81">
        <w:rPr>
          <w:rFonts w:ascii="Garamond" w:hAnsi="Garamond" w:cs="Times New Roman"/>
          <w:color w:val="484C53"/>
        </w:rPr>
        <w:t xml:space="preserve">decision, the STB granted </w:t>
      </w:r>
      <w:r w:rsidRPr="00F03D81">
        <w:rPr>
          <w:rFonts w:ascii="Garamond" w:hAnsi="Garamond" w:cs="Times New Roman"/>
          <w:color w:val="484C53"/>
          <w:u w:val="single"/>
        </w:rPr>
        <w:t>in part</w:t>
      </w:r>
      <w:r w:rsidRPr="00F03D81">
        <w:rPr>
          <w:rFonts w:ascii="Garamond" w:hAnsi="Garamond" w:cs="Times New Roman"/>
          <w:color w:val="484C53"/>
        </w:rPr>
        <w:t xml:space="preserve"> the NITL petition by initiating this NPRM for new rules on competitive switching arrangements and remedies.  The STB has proposed two possible paths for shippers to obtain a competitive switching remedy:</w:t>
      </w:r>
      <w:r w:rsidR="00A103E2">
        <w:rPr>
          <w:rFonts w:ascii="Garamond" w:hAnsi="Garamond" w:cs="Times New Roman"/>
          <w:color w:val="484C53"/>
        </w:rPr>
        <w:t xml:space="preserve"> 1) </w:t>
      </w:r>
      <w:r w:rsidR="00A103E2">
        <w:rPr>
          <w:rFonts w:ascii="Garamond" w:eastAsia="Times New Roman" w:hAnsi="Garamond" w:cs="Times New Roman"/>
          <w:color w:val="484C53"/>
        </w:rPr>
        <w:t>s</w:t>
      </w:r>
      <w:r w:rsidRPr="00F03D81">
        <w:rPr>
          <w:rFonts w:ascii="Garamond" w:eastAsia="Times New Roman" w:hAnsi="Garamond" w:cs="Times New Roman"/>
          <w:color w:val="484C53"/>
        </w:rPr>
        <w:t>witching must be practicable and in the public interest</w:t>
      </w:r>
      <w:r w:rsidR="00A103E2">
        <w:rPr>
          <w:rFonts w:ascii="Garamond" w:eastAsia="Times New Roman" w:hAnsi="Garamond" w:cs="Times New Roman"/>
          <w:color w:val="484C53"/>
        </w:rPr>
        <w:t xml:space="preserve"> or 2) b</w:t>
      </w:r>
      <w:r w:rsidRPr="00F03D81">
        <w:rPr>
          <w:rFonts w:ascii="Garamond" w:eastAsia="Times New Roman" w:hAnsi="Garamond" w:cs="Times New Roman"/>
          <w:color w:val="484C53"/>
        </w:rPr>
        <w:t>e necessary to provide competitive rail service.</w:t>
      </w:r>
    </w:p>
    <w:p w14:paraId="0BDB2AFA" w14:textId="77777777" w:rsidR="004E3AC4" w:rsidRPr="00F03D81" w:rsidRDefault="004E3AC4" w:rsidP="004E3AC4">
      <w:pPr>
        <w:pStyle w:val="NoSpacing"/>
        <w:ind w:left="720"/>
        <w:rPr>
          <w:rFonts w:ascii="Garamond" w:eastAsia="Times New Roman" w:hAnsi="Garamond" w:cs="Times New Roman"/>
          <w:color w:val="484C53"/>
        </w:rPr>
      </w:pPr>
    </w:p>
    <w:p w14:paraId="720C67CC" w14:textId="77777777" w:rsidR="00CF3F61" w:rsidRDefault="00CF3F61" w:rsidP="000C1A19">
      <w:pPr>
        <w:pStyle w:val="NoSpacing"/>
        <w:rPr>
          <w:rFonts w:ascii="Garamond" w:hAnsi="Garamond"/>
          <w:b/>
          <w:sz w:val="24"/>
          <w:szCs w:val="24"/>
        </w:rPr>
      </w:pPr>
    </w:p>
    <w:p w14:paraId="60F6F90A" w14:textId="77777777" w:rsidR="004E3AC4" w:rsidRPr="00F03D81" w:rsidRDefault="00931E1A" w:rsidP="000C1A19">
      <w:pPr>
        <w:pStyle w:val="NoSpacing"/>
        <w:rPr>
          <w:rFonts w:ascii="Garamond" w:hAnsi="Garamond"/>
          <w:b/>
          <w:sz w:val="24"/>
          <w:szCs w:val="24"/>
        </w:rPr>
      </w:pPr>
      <w:r w:rsidRPr="00F03D81">
        <w:rPr>
          <w:rFonts w:ascii="Garamond" w:hAnsi="Garamond"/>
          <w:b/>
          <w:sz w:val="24"/>
          <w:szCs w:val="24"/>
        </w:rPr>
        <w:t>Status</w:t>
      </w:r>
    </w:p>
    <w:p w14:paraId="7DBCDF41" w14:textId="77777777" w:rsidR="007D6FBC" w:rsidRDefault="00931E1A" w:rsidP="000C1A19">
      <w:pPr>
        <w:pStyle w:val="NoSpacing"/>
        <w:rPr>
          <w:rFonts w:ascii="Garamond" w:hAnsi="Garamond"/>
        </w:rPr>
      </w:pPr>
      <w:r w:rsidRPr="00A103E2">
        <w:rPr>
          <w:rFonts w:ascii="Garamond" w:hAnsi="Garamond"/>
        </w:rPr>
        <w:t>FRCA filed comments supporting the NPRM on October 26, 2016</w:t>
      </w:r>
      <w:r w:rsidR="007D6FBC">
        <w:rPr>
          <w:rFonts w:ascii="Garamond" w:hAnsi="Garamond"/>
        </w:rPr>
        <w:t xml:space="preserve"> and can be accessed via</w:t>
      </w:r>
      <w:r w:rsidRPr="00A103E2">
        <w:rPr>
          <w:rFonts w:ascii="Garamond" w:hAnsi="Garamond"/>
        </w:rPr>
        <w:t xml:space="preserve"> </w:t>
      </w:r>
      <w:hyperlink r:id="rId9" w:history="1">
        <w:r w:rsidR="007D6FBC" w:rsidRPr="00B30BB1">
          <w:rPr>
            <w:rStyle w:val="Hyperlink"/>
            <w:rFonts w:ascii="Garamond" w:hAnsi="Garamond"/>
          </w:rPr>
          <w:t>http://railvoices.org/wp-content/uploads/FRCA-Comments-to-STB-EP-711-Reciprocal-Switching-SUBMITTED.pdf</w:t>
        </w:r>
      </w:hyperlink>
    </w:p>
    <w:p w14:paraId="51CDACA9" w14:textId="77777777" w:rsidR="007D6FBC" w:rsidRDefault="007D6FBC" w:rsidP="000C1A19">
      <w:pPr>
        <w:pStyle w:val="NoSpacing"/>
        <w:rPr>
          <w:rFonts w:ascii="Garamond" w:hAnsi="Garamond"/>
        </w:rPr>
      </w:pPr>
      <w:r w:rsidRPr="007D6FBC" w:rsidDel="007D6FBC">
        <w:rPr>
          <w:rFonts w:ascii="Garamond" w:hAnsi="Garamond"/>
        </w:rPr>
        <w:t xml:space="preserve"> </w:t>
      </w:r>
    </w:p>
    <w:p w14:paraId="5A65A689" w14:textId="77777777" w:rsidR="00931E1A" w:rsidRPr="00A103E2" w:rsidRDefault="00931E1A" w:rsidP="000C1A19">
      <w:pPr>
        <w:pStyle w:val="NoSpacing"/>
        <w:rPr>
          <w:rFonts w:ascii="Garamond" w:hAnsi="Garamond"/>
        </w:rPr>
      </w:pPr>
      <w:r w:rsidRPr="00A103E2">
        <w:rPr>
          <w:rFonts w:ascii="Garamond" w:hAnsi="Garamond"/>
        </w:rPr>
        <w:t>Reply comments were due by January 13, 2017</w:t>
      </w:r>
      <w:r w:rsidR="00E65064">
        <w:rPr>
          <w:rFonts w:ascii="Garamond" w:hAnsi="Garamond"/>
        </w:rPr>
        <w:t xml:space="preserve">, along with requests for ex parte </w:t>
      </w:r>
      <w:r w:rsidRPr="00A103E2">
        <w:rPr>
          <w:rFonts w:ascii="Garamond" w:hAnsi="Garamond"/>
        </w:rPr>
        <w:t xml:space="preserve">meetings with Board Members.  </w:t>
      </w:r>
    </w:p>
    <w:p w14:paraId="08B2B921" w14:textId="77777777" w:rsidR="00F76E8B" w:rsidRPr="00A103E2" w:rsidRDefault="00F76E8B" w:rsidP="000C1A19">
      <w:pPr>
        <w:pStyle w:val="Default"/>
        <w:autoSpaceDE/>
        <w:autoSpaceDN/>
        <w:adjustRightInd/>
        <w:rPr>
          <w:rFonts w:ascii="Garamond" w:hAnsi="Garamond"/>
          <w:b/>
          <w:sz w:val="22"/>
          <w:szCs w:val="22"/>
        </w:rPr>
      </w:pPr>
    </w:p>
    <w:p w14:paraId="4B74D4EB" w14:textId="106CE0FE" w:rsidR="006075C1" w:rsidRPr="00A103E2" w:rsidRDefault="00F76E8B">
      <w:pPr>
        <w:pStyle w:val="NoSpacing"/>
        <w:rPr>
          <w:rFonts w:ascii="Garamond" w:eastAsia="Times New Roman" w:hAnsi="Garamond"/>
        </w:rPr>
      </w:pPr>
      <w:r w:rsidRPr="0032542F">
        <w:rPr>
          <w:rFonts w:ascii="Garamond" w:hAnsi="Garamond"/>
        </w:rPr>
        <w:t>On December 23, 2016, the STB</w:t>
      </w:r>
      <w:r w:rsidR="00E65064" w:rsidRPr="0032542F">
        <w:rPr>
          <w:rFonts w:ascii="Garamond" w:hAnsi="Garamond"/>
        </w:rPr>
        <w:t xml:space="preserve"> announced </w:t>
      </w:r>
      <w:r w:rsidRPr="0032542F">
        <w:rPr>
          <w:rFonts w:ascii="Garamond" w:hAnsi="Garamond"/>
        </w:rPr>
        <w:t>a</w:t>
      </w:r>
      <w:r w:rsidR="00E65064" w:rsidRPr="0032542F">
        <w:rPr>
          <w:rFonts w:ascii="Garamond" w:hAnsi="Garamond"/>
        </w:rPr>
        <w:t xml:space="preserve">n indefinite </w:t>
      </w:r>
      <w:r w:rsidRPr="0032542F">
        <w:rPr>
          <w:rFonts w:ascii="Garamond" w:hAnsi="Garamond"/>
        </w:rPr>
        <w:t xml:space="preserve">delay in the </w:t>
      </w:r>
      <w:r w:rsidR="00E65064" w:rsidRPr="0032542F">
        <w:rPr>
          <w:rFonts w:ascii="Garamond" w:hAnsi="Garamond"/>
        </w:rPr>
        <w:t xml:space="preserve">schedule for requesting the ex parte </w:t>
      </w:r>
      <w:r w:rsidRPr="0032542F">
        <w:rPr>
          <w:rFonts w:ascii="Garamond" w:hAnsi="Garamond"/>
        </w:rPr>
        <w:t xml:space="preserve">meetings </w:t>
      </w:r>
      <w:r w:rsidR="00E65064" w:rsidRPr="0032542F">
        <w:rPr>
          <w:rFonts w:ascii="Garamond" w:hAnsi="Garamond"/>
        </w:rPr>
        <w:t xml:space="preserve">and the meetings themselves.  </w:t>
      </w:r>
      <w:r w:rsidR="00BA1704" w:rsidRPr="0032542F">
        <w:rPr>
          <w:rFonts w:ascii="Garamond" w:hAnsi="Garamond"/>
        </w:rPr>
        <w:t>While ex</w:t>
      </w:r>
      <w:r w:rsidR="0032542F" w:rsidRPr="0032542F">
        <w:rPr>
          <w:rFonts w:ascii="Garamond" w:hAnsi="Garamond"/>
        </w:rPr>
        <w:t xml:space="preserve"> </w:t>
      </w:r>
      <w:r w:rsidR="00D64F43" w:rsidRPr="0032542F">
        <w:rPr>
          <w:rFonts w:ascii="Garamond" w:hAnsi="Garamond"/>
        </w:rPr>
        <w:t>p</w:t>
      </w:r>
      <w:r w:rsidR="00BA1704" w:rsidRPr="0032542F">
        <w:rPr>
          <w:rFonts w:ascii="Garamond" w:hAnsi="Garamond"/>
        </w:rPr>
        <w:t xml:space="preserve">arte </w:t>
      </w:r>
      <w:r w:rsidR="000B2F14" w:rsidRPr="0032542F">
        <w:rPr>
          <w:rFonts w:ascii="Garamond" w:hAnsi="Garamond"/>
        </w:rPr>
        <w:t>meetings</w:t>
      </w:r>
      <w:r w:rsidR="00BA1704" w:rsidRPr="0032542F">
        <w:rPr>
          <w:rFonts w:ascii="Garamond" w:hAnsi="Garamond"/>
        </w:rPr>
        <w:t xml:space="preserve"> have been held, </w:t>
      </w:r>
      <w:r w:rsidR="000B2F14" w:rsidRPr="0032542F">
        <w:rPr>
          <w:rFonts w:ascii="Garamond" w:hAnsi="Garamond"/>
        </w:rPr>
        <w:t xml:space="preserve">it is </w:t>
      </w:r>
      <w:r w:rsidR="002B00BC" w:rsidRPr="0032542F">
        <w:rPr>
          <w:rFonts w:ascii="Garamond" w:hAnsi="Garamond"/>
        </w:rPr>
        <w:t>not known when the Board</w:t>
      </w:r>
      <w:r w:rsidR="00830EE7" w:rsidRPr="0032542F">
        <w:rPr>
          <w:rFonts w:ascii="Garamond" w:hAnsi="Garamond"/>
        </w:rPr>
        <w:t xml:space="preserve"> will issue new timeline(s)/deadline(s) for requesting ex-parte meetings</w:t>
      </w:r>
      <w:r w:rsidR="00D64F43" w:rsidRPr="0032542F">
        <w:rPr>
          <w:rFonts w:ascii="Garamond" w:hAnsi="Garamond"/>
        </w:rPr>
        <w:t xml:space="preserve"> or the continuation of formal deliberations in the Docket.</w:t>
      </w:r>
      <w:r w:rsidR="00D64F43">
        <w:rPr>
          <w:rFonts w:ascii="Garamond" w:hAnsi="Garamond"/>
        </w:rPr>
        <w:t xml:space="preserve"> </w:t>
      </w:r>
      <w:r w:rsidR="002B00BC">
        <w:rPr>
          <w:rFonts w:ascii="Garamond" w:hAnsi="Garamond"/>
        </w:rPr>
        <w:t xml:space="preserve">  </w:t>
      </w:r>
      <w:r w:rsidR="000B2F14">
        <w:rPr>
          <w:rFonts w:ascii="Garamond" w:hAnsi="Garamond"/>
        </w:rPr>
        <w:t xml:space="preserve"> </w:t>
      </w:r>
      <w:bookmarkStart w:id="0" w:name="_GoBack"/>
      <w:bookmarkEnd w:id="0"/>
    </w:p>
    <w:sectPr w:rsidR="006075C1" w:rsidRPr="00A103E2" w:rsidSect="00830E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A3070" w14:textId="77777777" w:rsidR="006C47BA" w:rsidRDefault="006C47BA" w:rsidP="00DD7E73">
      <w:pPr>
        <w:spacing w:after="0" w:line="240" w:lineRule="auto"/>
      </w:pPr>
      <w:r>
        <w:separator/>
      </w:r>
    </w:p>
  </w:endnote>
  <w:endnote w:type="continuationSeparator" w:id="0">
    <w:p w14:paraId="0E1EA987" w14:textId="77777777" w:rsidR="006C47BA" w:rsidRDefault="006C47BA" w:rsidP="00DD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742541"/>
      <w:docPartObj>
        <w:docPartGallery w:val="Page Numbers (Bottom of Page)"/>
        <w:docPartUnique/>
      </w:docPartObj>
    </w:sdtPr>
    <w:sdtEndPr>
      <w:rPr>
        <w:rFonts w:ascii="Arial" w:hAnsi="Arial" w:cs="Arial"/>
        <w:noProof/>
        <w:sz w:val="20"/>
        <w:szCs w:val="20"/>
      </w:rPr>
    </w:sdtEndPr>
    <w:sdtContent>
      <w:p w14:paraId="021CE277" w14:textId="77777777" w:rsidR="002B00BC" w:rsidRPr="002B00BC" w:rsidRDefault="002B00BC">
        <w:pPr>
          <w:pStyle w:val="Footer"/>
          <w:rPr>
            <w:rFonts w:ascii="Arial" w:hAnsi="Arial" w:cs="Arial"/>
            <w:sz w:val="20"/>
            <w:szCs w:val="20"/>
          </w:rPr>
        </w:pPr>
        <w:r w:rsidRPr="002B00BC">
          <w:rPr>
            <w:rFonts w:ascii="Arial" w:hAnsi="Arial" w:cs="Arial"/>
            <w:sz w:val="20"/>
            <w:szCs w:val="20"/>
          </w:rPr>
          <w:fldChar w:fldCharType="begin"/>
        </w:r>
        <w:r w:rsidRPr="002B00BC">
          <w:rPr>
            <w:rFonts w:ascii="Arial" w:hAnsi="Arial" w:cs="Arial"/>
            <w:sz w:val="20"/>
            <w:szCs w:val="20"/>
          </w:rPr>
          <w:instrText xml:space="preserve"> PAGE   \* MERGEFORMAT </w:instrText>
        </w:r>
        <w:r w:rsidRPr="002B00BC">
          <w:rPr>
            <w:rFonts w:ascii="Arial" w:hAnsi="Arial" w:cs="Arial"/>
            <w:sz w:val="20"/>
            <w:szCs w:val="20"/>
          </w:rPr>
          <w:fldChar w:fldCharType="separate"/>
        </w:r>
        <w:r w:rsidRPr="002B00BC">
          <w:rPr>
            <w:rFonts w:ascii="Arial" w:hAnsi="Arial" w:cs="Arial"/>
            <w:noProof/>
            <w:sz w:val="20"/>
            <w:szCs w:val="20"/>
          </w:rPr>
          <w:t>2</w:t>
        </w:r>
        <w:r w:rsidRPr="002B00BC">
          <w:rPr>
            <w:rFonts w:ascii="Arial" w:hAnsi="Arial" w:cs="Arial"/>
            <w:noProof/>
            <w:sz w:val="20"/>
            <w:szCs w:val="20"/>
          </w:rPr>
          <w:fldChar w:fldCharType="end"/>
        </w:r>
        <w:r>
          <w:rPr>
            <w:rFonts w:ascii="Arial" w:hAnsi="Arial" w:cs="Arial"/>
            <w:noProof/>
            <w:sz w:val="20"/>
            <w:szCs w:val="20"/>
          </w:rPr>
          <w:t xml:space="preserve">                                                                                                                                                     June 2018</w:t>
        </w:r>
      </w:p>
    </w:sdtContent>
  </w:sdt>
  <w:p w14:paraId="2928A2B5" w14:textId="77777777" w:rsidR="00A14972" w:rsidRPr="00CA3863" w:rsidRDefault="00A14972" w:rsidP="00CA386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8A2E" w14:textId="77777777" w:rsidR="006C47BA" w:rsidRDefault="006C47BA" w:rsidP="00DD7E73">
      <w:pPr>
        <w:spacing w:after="0" w:line="240" w:lineRule="auto"/>
      </w:pPr>
      <w:r>
        <w:separator/>
      </w:r>
    </w:p>
  </w:footnote>
  <w:footnote w:type="continuationSeparator" w:id="0">
    <w:p w14:paraId="07F51D4E" w14:textId="77777777" w:rsidR="006C47BA" w:rsidRDefault="006C47BA" w:rsidP="00DD7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26A69"/>
    <w:multiLevelType w:val="hybridMultilevel"/>
    <w:tmpl w:val="0ED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7529E"/>
    <w:multiLevelType w:val="hybridMultilevel"/>
    <w:tmpl w:val="9A86A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1577D"/>
    <w:multiLevelType w:val="hybridMultilevel"/>
    <w:tmpl w:val="5BA06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3B"/>
    <w:rsid w:val="00013880"/>
    <w:rsid w:val="000A6C2D"/>
    <w:rsid w:val="000B2F14"/>
    <w:rsid w:val="000B3CCB"/>
    <w:rsid w:val="000B3E12"/>
    <w:rsid w:val="000C1A19"/>
    <w:rsid w:val="000C29A1"/>
    <w:rsid w:val="000E4269"/>
    <w:rsid w:val="000F107C"/>
    <w:rsid w:val="001A1117"/>
    <w:rsid w:val="001A322C"/>
    <w:rsid w:val="001E0029"/>
    <w:rsid w:val="00226220"/>
    <w:rsid w:val="002B00BC"/>
    <w:rsid w:val="002F3730"/>
    <w:rsid w:val="0032542F"/>
    <w:rsid w:val="003866D9"/>
    <w:rsid w:val="00387A78"/>
    <w:rsid w:val="003F18E1"/>
    <w:rsid w:val="00412DDF"/>
    <w:rsid w:val="004A4D45"/>
    <w:rsid w:val="004E1B38"/>
    <w:rsid w:val="004E3AC4"/>
    <w:rsid w:val="005117E3"/>
    <w:rsid w:val="006021EA"/>
    <w:rsid w:val="006075C1"/>
    <w:rsid w:val="006449C4"/>
    <w:rsid w:val="00650BA0"/>
    <w:rsid w:val="006609B6"/>
    <w:rsid w:val="00666B33"/>
    <w:rsid w:val="006970AE"/>
    <w:rsid w:val="006C47BA"/>
    <w:rsid w:val="00700325"/>
    <w:rsid w:val="007B7175"/>
    <w:rsid w:val="007D5891"/>
    <w:rsid w:val="007D6FBC"/>
    <w:rsid w:val="00830EE7"/>
    <w:rsid w:val="00832D55"/>
    <w:rsid w:val="008A5E24"/>
    <w:rsid w:val="008B2AF8"/>
    <w:rsid w:val="008C621E"/>
    <w:rsid w:val="008F3079"/>
    <w:rsid w:val="008F3F63"/>
    <w:rsid w:val="00931E1A"/>
    <w:rsid w:val="00953C3F"/>
    <w:rsid w:val="00961F7E"/>
    <w:rsid w:val="009D7087"/>
    <w:rsid w:val="009F41F8"/>
    <w:rsid w:val="00A103E2"/>
    <w:rsid w:val="00A14972"/>
    <w:rsid w:val="00A31A69"/>
    <w:rsid w:val="00A83A1A"/>
    <w:rsid w:val="00A847ED"/>
    <w:rsid w:val="00AC629E"/>
    <w:rsid w:val="00B10109"/>
    <w:rsid w:val="00B30DC1"/>
    <w:rsid w:val="00B71F06"/>
    <w:rsid w:val="00BA1704"/>
    <w:rsid w:val="00BF6CC9"/>
    <w:rsid w:val="00C627E7"/>
    <w:rsid w:val="00C62BE4"/>
    <w:rsid w:val="00CA3863"/>
    <w:rsid w:val="00CC7817"/>
    <w:rsid w:val="00CD29E5"/>
    <w:rsid w:val="00CF3F61"/>
    <w:rsid w:val="00D142E3"/>
    <w:rsid w:val="00D532B9"/>
    <w:rsid w:val="00D64F43"/>
    <w:rsid w:val="00D705C0"/>
    <w:rsid w:val="00DA1F55"/>
    <w:rsid w:val="00DD7E73"/>
    <w:rsid w:val="00DE6823"/>
    <w:rsid w:val="00E437DD"/>
    <w:rsid w:val="00E65064"/>
    <w:rsid w:val="00EC473B"/>
    <w:rsid w:val="00EE1865"/>
    <w:rsid w:val="00F03D81"/>
    <w:rsid w:val="00F30BCC"/>
    <w:rsid w:val="00F35699"/>
    <w:rsid w:val="00F71C1A"/>
    <w:rsid w:val="00F76E8B"/>
    <w:rsid w:val="00F910B8"/>
    <w:rsid w:val="00FE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8F3E6"/>
  <w15:docId w15:val="{046436FA-ABC7-4A00-9FE2-AAAFBEB6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C47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73B"/>
    <w:pPr>
      <w:spacing w:after="0" w:line="240" w:lineRule="auto"/>
    </w:pPr>
  </w:style>
  <w:style w:type="character" w:customStyle="1" w:styleId="Heading3Char">
    <w:name w:val="Heading 3 Char"/>
    <w:basedOn w:val="DefaultParagraphFont"/>
    <w:link w:val="Heading3"/>
    <w:uiPriority w:val="9"/>
    <w:semiHidden/>
    <w:rsid w:val="00EC473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10109"/>
    <w:rPr>
      <w:i/>
      <w:iCs/>
    </w:rPr>
  </w:style>
  <w:style w:type="character" w:customStyle="1" w:styleId="apple-converted-space">
    <w:name w:val="apple-converted-space"/>
    <w:basedOn w:val="DefaultParagraphFont"/>
    <w:rsid w:val="00B10109"/>
  </w:style>
  <w:style w:type="character" w:styleId="Hyperlink">
    <w:name w:val="Hyperlink"/>
    <w:basedOn w:val="DefaultParagraphFont"/>
    <w:uiPriority w:val="99"/>
    <w:unhideWhenUsed/>
    <w:rsid w:val="000E4269"/>
    <w:rPr>
      <w:color w:val="0563C1" w:themeColor="hyperlink"/>
      <w:u w:val="single"/>
    </w:rPr>
  </w:style>
  <w:style w:type="paragraph" w:styleId="Header">
    <w:name w:val="header"/>
    <w:basedOn w:val="Normal"/>
    <w:link w:val="HeaderChar"/>
    <w:uiPriority w:val="99"/>
    <w:unhideWhenUsed/>
    <w:rsid w:val="00DD7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73"/>
  </w:style>
  <w:style w:type="paragraph" w:styleId="Footer">
    <w:name w:val="footer"/>
    <w:basedOn w:val="Normal"/>
    <w:link w:val="FooterChar"/>
    <w:uiPriority w:val="99"/>
    <w:unhideWhenUsed/>
    <w:rsid w:val="00DD7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73"/>
  </w:style>
  <w:style w:type="paragraph" w:styleId="BalloonText">
    <w:name w:val="Balloon Text"/>
    <w:basedOn w:val="Normal"/>
    <w:link w:val="BalloonTextChar"/>
    <w:uiPriority w:val="99"/>
    <w:semiHidden/>
    <w:unhideWhenUsed/>
    <w:rsid w:val="00A149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97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4972"/>
    <w:rPr>
      <w:sz w:val="18"/>
      <w:szCs w:val="18"/>
    </w:rPr>
  </w:style>
  <w:style w:type="paragraph" w:styleId="CommentText">
    <w:name w:val="annotation text"/>
    <w:basedOn w:val="Normal"/>
    <w:link w:val="CommentTextChar"/>
    <w:uiPriority w:val="99"/>
    <w:semiHidden/>
    <w:unhideWhenUsed/>
    <w:rsid w:val="00A14972"/>
    <w:pPr>
      <w:spacing w:line="240" w:lineRule="auto"/>
    </w:pPr>
    <w:rPr>
      <w:sz w:val="24"/>
      <w:szCs w:val="24"/>
    </w:rPr>
  </w:style>
  <w:style w:type="character" w:customStyle="1" w:styleId="CommentTextChar">
    <w:name w:val="Comment Text Char"/>
    <w:basedOn w:val="DefaultParagraphFont"/>
    <w:link w:val="CommentText"/>
    <w:uiPriority w:val="99"/>
    <w:semiHidden/>
    <w:rsid w:val="00A14972"/>
    <w:rPr>
      <w:sz w:val="24"/>
      <w:szCs w:val="24"/>
    </w:rPr>
  </w:style>
  <w:style w:type="paragraph" w:styleId="CommentSubject">
    <w:name w:val="annotation subject"/>
    <w:basedOn w:val="CommentText"/>
    <w:next w:val="CommentText"/>
    <w:link w:val="CommentSubjectChar"/>
    <w:uiPriority w:val="99"/>
    <w:semiHidden/>
    <w:unhideWhenUsed/>
    <w:rsid w:val="00A14972"/>
    <w:rPr>
      <w:b/>
      <w:bCs/>
      <w:sz w:val="20"/>
      <w:szCs w:val="20"/>
    </w:rPr>
  </w:style>
  <w:style w:type="character" w:customStyle="1" w:styleId="CommentSubjectChar">
    <w:name w:val="Comment Subject Char"/>
    <w:basedOn w:val="CommentTextChar"/>
    <w:link w:val="CommentSubject"/>
    <w:uiPriority w:val="99"/>
    <w:semiHidden/>
    <w:rsid w:val="00A14972"/>
    <w:rPr>
      <w:b/>
      <w:bCs/>
      <w:sz w:val="20"/>
      <w:szCs w:val="20"/>
    </w:rPr>
  </w:style>
  <w:style w:type="paragraph" w:styleId="Revision">
    <w:name w:val="Revision"/>
    <w:hidden/>
    <w:uiPriority w:val="99"/>
    <w:semiHidden/>
    <w:rsid w:val="00D705C0"/>
    <w:pPr>
      <w:spacing w:after="0" w:line="240" w:lineRule="auto"/>
    </w:pPr>
  </w:style>
  <w:style w:type="paragraph" w:customStyle="1" w:styleId="Default">
    <w:name w:val="Default"/>
    <w:rsid w:val="00F76E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74260">
      <w:bodyDiv w:val="1"/>
      <w:marLeft w:val="0"/>
      <w:marRight w:val="0"/>
      <w:marTop w:val="0"/>
      <w:marBottom w:val="0"/>
      <w:divBdr>
        <w:top w:val="none" w:sz="0" w:space="0" w:color="auto"/>
        <w:left w:val="none" w:sz="0" w:space="0" w:color="auto"/>
        <w:bottom w:val="none" w:sz="0" w:space="0" w:color="auto"/>
        <w:right w:val="none" w:sz="0" w:space="0" w:color="auto"/>
      </w:divBdr>
    </w:div>
    <w:div w:id="834107432">
      <w:bodyDiv w:val="1"/>
      <w:marLeft w:val="0"/>
      <w:marRight w:val="0"/>
      <w:marTop w:val="0"/>
      <w:marBottom w:val="0"/>
      <w:divBdr>
        <w:top w:val="none" w:sz="0" w:space="0" w:color="auto"/>
        <w:left w:val="none" w:sz="0" w:space="0" w:color="auto"/>
        <w:bottom w:val="none" w:sz="0" w:space="0" w:color="auto"/>
        <w:right w:val="none" w:sz="0" w:space="0" w:color="auto"/>
      </w:divBdr>
    </w:div>
    <w:div w:id="1196190496">
      <w:bodyDiv w:val="1"/>
      <w:marLeft w:val="0"/>
      <w:marRight w:val="0"/>
      <w:marTop w:val="0"/>
      <w:marBottom w:val="0"/>
      <w:divBdr>
        <w:top w:val="none" w:sz="0" w:space="0" w:color="auto"/>
        <w:left w:val="none" w:sz="0" w:space="0" w:color="auto"/>
        <w:bottom w:val="none" w:sz="0" w:space="0" w:color="auto"/>
        <w:right w:val="none" w:sz="0" w:space="0" w:color="auto"/>
      </w:divBdr>
    </w:div>
    <w:div w:id="1646467893">
      <w:bodyDiv w:val="1"/>
      <w:marLeft w:val="0"/>
      <w:marRight w:val="0"/>
      <w:marTop w:val="0"/>
      <w:marBottom w:val="0"/>
      <w:divBdr>
        <w:top w:val="none" w:sz="0" w:space="0" w:color="auto"/>
        <w:left w:val="none" w:sz="0" w:space="0" w:color="auto"/>
        <w:bottom w:val="none" w:sz="0" w:space="0" w:color="auto"/>
        <w:right w:val="none" w:sz="0" w:space="0" w:color="auto"/>
      </w:divBdr>
    </w:div>
    <w:div w:id="18808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0E497.8017EA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ailvoices.org/wp-content/uploads/FRCA-Comments-to-STB-EP-711-Reciprocal-Switching-SUBMIT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Ann@annwarnerllc.com</cp:lastModifiedBy>
  <cp:revision>2</cp:revision>
  <cp:lastPrinted>2017-02-01T16:59:00Z</cp:lastPrinted>
  <dcterms:created xsi:type="dcterms:W3CDTF">2018-05-30T22:20:00Z</dcterms:created>
  <dcterms:modified xsi:type="dcterms:W3CDTF">2018-05-30T22:20:00Z</dcterms:modified>
</cp:coreProperties>
</file>